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00"/>
      </w:pPr>
      <w:r>
        <w:rPr>
          <w:rFonts w:ascii="Inter" w:hAnsi="Inter"/>
          <w:b/>
          <w:i w:val="0"/>
          <w:color w:val="2F80ED"/>
          <w:sz w:val="24"/>
        </w:rPr>
        <w:t>AI LITERACY LAB</w:t>
      </w:r>
    </w:p>
    <w:p>
      <w:pPr>
        <w:spacing w:after="100"/>
      </w:pPr>
      <w:r>
        <w:rPr>
          <w:rFonts w:ascii="Inter" w:hAnsi="Inter"/>
          <w:b/>
          <w:i w:val="0"/>
          <w:color w:val="132238"/>
          <w:sz w:val="60"/>
        </w:rPr>
        <w:t>Reti neurali e IA generativa</w:t>
      </w:r>
    </w:p>
    <w:p>
      <w:pPr>
        <w:spacing w:after="360"/>
      </w:pPr>
      <w:r>
        <w:rPr>
          <w:rFonts w:ascii="Inter" w:hAnsi="Inter"/>
          <w:b w:val="0"/>
          <w:i w:val="0"/>
          <w:color w:val="5F6B7A"/>
          <w:sz w:val="30"/>
        </w:rPr>
        <w:t>Guida didattica visuale, approfondita e operativa per accompagnare Neural Network Explorer</w:t>
      </w:r>
    </w:p>
    <w:tbl>
      <w:tblPr>
        <w:tblW w:type="auto" w:w="0"/>
        <w:tblLayout w:type="fixed"/>
        <w:tblLook w:firstColumn="1" w:firstRow="1" w:lastColumn="0" w:lastRow="0" w:noHBand="0" w:noVBand="1" w:val="04A0"/>
      </w:tblPr>
      <w:tblGrid>
        <w:gridCol w:w="2509"/>
        <w:gridCol w:w="2509"/>
        <w:gridCol w:w="2509"/>
        <w:gridCol w:w="2509"/>
      </w:tblGrid>
      <w:tr>
        <w:tc>
          <w:tcPr>
            <w:tcW w:type="dxa" w:w="2381"/>
            <w:shd w:fill="2F80ED"/>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2381"/>
            <w:shd w:fill="7657D5"/>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2381"/>
            <w:shd w:fill="F2994A"/>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2381"/>
            <w:shd w:fill="27AE60"/>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r>
    </w:tbl>
    <w:p>
      <w:pPr>
        <w:spacing w:after="360"/>
      </w:pPr>
    </w:p>
    <w:tbl>
      <w:tblPr>
        <w:tblW w:type="auto" w:w="0"/>
        <w:jc w:val="center"/>
        <w:tblLayout w:type="fixed"/>
        <w:tblLook w:firstColumn="1" w:firstRow="1" w:lastColumn="0" w:lastRow="0" w:noHBand="0" w:noVBand="1" w:val="04A0"/>
      </w:tblPr>
      <w:tblGrid>
        <w:gridCol w:w="181"/>
        <w:gridCol w:w="9241"/>
      </w:tblGrid>
      <w:tr>
        <w:tc>
          <w:tcPr>
            <w:tcW w:type="dxa" w:w="5018"/>
            <w:shd w:fill="7657D5"/>
            <w:tcBorders>
              <w:top w:val="single" w:sz="0" w:color="7657D5"/>
              <w:left w:val="single" w:sz="0" w:color="7657D5"/>
              <w:bottom w:val="single" w:sz="0" w:color="7657D5"/>
              <w:right w:val="single" w:sz="0" w:color="7657D5"/>
              <w:insideH w:val="single" w:sz="0" w:color="7657D5"/>
              <w:insideV w:val="single" w:sz="0" w:color="7657D5"/>
            </w:tcBorders>
            <w:tcMar>
              <w:top w:w="80" w:type="dxa"/>
              <w:start w:w="0" w:type="dxa"/>
              <w:bottom w:w="80" w:type="dxa"/>
              <w:end w:w="0" w:type="dxa"/>
            </w:tcMar>
          </w:tcPr>
          <w:p/>
        </w:tc>
        <w:tc>
          <w:tcPr>
            <w:tcW w:type="dxa" w:w="5018"/>
            <w:shd w:fill="EEE9FF"/>
            <w:tcBorders>
              <w:top w:val="single" w:sz="0" w:color="EEE9FF"/>
              <w:left w:val="single" w:sz="0" w:color="EEE9FF"/>
              <w:bottom w:val="single" w:sz="0" w:color="EEE9FF"/>
              <w:right w:val="single" w:sz="0" w:color="EEE9FF"/>
              <w:insideH w:val="single" w:sz="0" w:color="EEE9FF"/>
              <w:insideV w:val="single" w:sz="0" w:color="EEE9FF"/>
            </w:tcBorders>
            <w:tcMar>
              <w:top w:w="160" w:type="dxa"/>
              <w:start w:w="210" w:type="dxa"/>
              <w:bottom w:w="160" w:type="dxa"/>
              <w:end w:w="210" w:type="dxa"/>
            </w:tcMar>
          </w:tcPr>
          <w:p>
            <w:pPr>
              <w:spacing w:after="60"/>
            </w:pPr>
            <w:r>
              <w:rPr>
                <w:rFonts w:ascii="Inter" w:hAnsi="Inter"/>
                <w:b/>
                <w:i w:val="0"/>
                <w:color w:val="7657D5"/>
                <w:sz w:val="21"/>
              </w:rPr>
              <w:t>PERCHÉ QUESTA DISPENSA</w:t>
            </w:r>
          </w:p>
          <w:p>
            <w:pPr>
              <w:spacing w:line="259" w:lineRule="auto"/>
            </w:pPr>
            <w:r>
              <w:rPr>
                <w:rFonts w:ascii="Inter" w:hAnsi="Inter"/>
                <w:b w:val="0"/>
                <w:i w:val="0"/>
                <w:color w:val="1C2633"/>
                <w:sz w:val="19"/>
              </w:rPr>
              <w:t>Capire una rete neurale non significa imparare a memoria formule. Significa costruire un modello mentale: quali segnali entrano, come vengono trasformati, come cambiano i pesi durante l’addestramento e come questi principi si collegano ai sistemi di IA generativa.</w:t>
            </w:r>
          </w:p>
        </w:tc>
      </w:tr>
    </w:tbl>
    <w:p>
      <w:pPr>
        <w:spacing w:after="20"/>
      </w:pPr>
    </w:p>
    <w:p>
      <w:pPr>
        <w:spacing w:before="360"/>
      </w:pPr>
      <w:r>
        <w:rPr>
          <w:rFonts w:ascii="Inter" w:hAnsi="Inter"/>
          <w:b/>
          <w:i w:val="0"/>
          <w:color w:val="2F80ED"/>
          <w:sz w:val="24"/>
        </w:rPr>
        <w:t>Dispensa per docenti e formatori</w:t>
      </w:r>
    </w:p>
    <w:p>
      <w:r>
        <w:rPr>
          <w:rFonts w:ascii="Inter" w:hAnsi="Inter"/>
          <w:b/>
          <w:i w:val="0"/>
          <w:color w:val="132238"/>
          <w:sz w:val="21"/>
        </w:rPr>
        <w:t>Ideazione didattica e progettuale: Prof. Erasmo Modica</w:t>
      </w:r>
    </w:p>
    <w:p>
      <w:r>
        <w:rPr>
          <w:rFonts w:ascii="Inter" w:hAnsi="Inter"/>
          <w:b w:val="0"/>
          <w:i w:val="0"/>
          <w:color w:val="5F6B7A"/>
          <w:sz w:val="19"/>
        </w:rPr>
        <w:t>Realizzazione tecnica dell’app: ChatGPT (OpenAI), sulla base delle indicazioni dell’autore.</w:t>
      </w:r>
    </w:p>
    <w:p>
      <w:pPr>
        <w:spacing w:before="320"/>
      </w:pPr>
      <w:r>
        <w:rPr>
          <w:rFonts w:ascii="Inter" w:hAnsi="Inter"/>
          <w:b w:val="0"/>
          <w:i w:val="0"/>
          <w:color w:val="5F6B7A"/>
          <w:sz w:val="18"/>
        </w:rPr>
        <w:t>Versione ampliata e visuale • Agosto 2026</w:t>
      </w:r>
    </w:p>
    <w:p>
      <w:r>
        <w:br w:type="page"/>
      </w:r>
    </w:p>
    <w:p>
      <w:pPr>
        <w:spacing w:before="80" w:after="140"/>
      </w:pPr>
      <w:r>
        <w:rPr>
          <w:rFonts w:ascii="Inter" w:hAnsi="Inter"/>
          <w:b/>
          <w:i w:val="0"/>
          <w:color w:val="2F80ED"/>
          <w:sz w:val="22"/>
        </w:rPr>
        <w:t xml:space="preserve">0  </w:t>
      </w:r>
      <w:r>
        <w:rPr>
          <w:rFonts w:ascii="Inter" w:hAnsi="Inter"/>
          <w:b/>
          <w:i w:val="0"/>
          <w:color w:val="132238"/>
          <w:sz w:val="40"/>
        </w:rPr>
        <w:t>Come usare la guida docente</w:t>
      </w:r>
    </w:p>
    <w:p>
      <w:pPr>
        <w:spacing w:after="240"/>
      </w:pPr>
      <w:r>
        <w:rPr>
          <w:rFonts w:ascii="Inter" w:hAnsi="Inter"/>
          <w:b w:val="0"/>
          <w:i w:val="0"/>
          <w:color w:val="5F6B7A"/>
          <w:sz w:val="21"/>
        </w:rPr>
        <w:t>Una struttura a doppio livello: concetto tecnico essenziale + mediazione didattica per non specialisti.</w:t>
      </w:r>
    </w:p>
    <w:tbl>
      <w:tblPr>
        <w:tblW w:type="auto" w:w="0"/>
        <w:tblLayout w:type="fixed"/>
        <w:tblLook w:firstColumn="1" w:firstRow="1" w:lastColumn="0" w:lastRow="0" w:noHBand="0" w:noVBand="1" w:val="04A0"/>
      </w:tblPr>
      <w:tblGrid>
        <w:gridCol w:w="2268"/>
        <w:gridCol w:w="7370"/>
      </w:tblGrid>
      <w:tr>
        <w:tc>
          <w:tcPr>
            <w:tcW w:type="dxa" w:w="5018"/>
            <w:shd w:fill="2F80ED"/>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5018"/>
            <w:shd w:fill="E8EEF5"/>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r>
    </w:tbl>
    <w:p>
      <w:pPr>
        <w:spacing w:after="20"/>
      </w:pPr>
    </w:p>
    <w:tbl>
      <w:tblPr>
        <w:tblW w:type="auto" w:w="0"/>
        <w:jc w:val="center"/>
        <w:tblLayout w:type="fixed"/>
        <w:tblLook w:firstColumn="1" w:firstRow="1" w:lastColumn="0" w:lastRow="0" w:noHBand="0" w:noVBand="1" w:val="04A0"/>
      </w:tblPr>
      <w:tblGrid>
        <w:gridCol w:w="181"/>
        <w:gridCol w:w="9241"/>
      </w:tblGrid>
      <w:tr>
        <w:tc>
          <w:tcPr>
            <w:tcW w:type="dxa" w:w="5018"/>
            <w:shd w:fill="149C95"/>
            <w:tcBorders>
              <w:top w:val="single" w:sz="0" w:color="149C95"/>
              <w:left w:val="single" w:sz="0" w:color="149C95"/>
              <w:bottom w:val="single" w:sz="0" w:color="149C95"/>
              <w:right w:val="single" w:sz="0" w:color="149C95"/>
              <w:insideH w:val="single" w:sz="0" w:color="149C95"/>
              <w:insideV w:val="single" w:sz="0" w:color="149C95"/>
            </w:tcBorders>
            <w:tcMar>
              <w:top w:w="80" w:type="dxa"/>
              <w:start w:w="0" w:type="dxa"/>
              <w:bottom w:w="80" w:type="dxa"/>
              <w:end w:w="0" w:type="dxa"/>
            </w:tcMar>
          </w:tcPr>
          <w:p/>
        </w:tc>
        <w:tc>
          <w:tcPr>
            <w:tcW w:type="dxa" w:w="5018"/>
            <w:shd w:fill="E8F8F6"/>
            <w:tcBorders>
              <w:top w:val="single" w:sz="0" w:color="E8F8F6"/>
              <w:left w:val="single" w:sz="0" w:color="E8F8F6"/>
              <w:bottom w:val="single" w:sz="0" w:color="E8F8F6"/>
              <w:right w:val="single" w:sz="0" w:color="E8F8F6"/>
              <w:insideH w:val="single" w:sz="0" w:color="E8F8F6"/>
              <w:insideV w:val="single" w:sz="0" w:color="E8F8F6"/>
            </w:tcBorders>
            <w:tcMar>
              <w:top w:w="160" w:type="dxa"/>
              <w:start w:w="210" w:type="dxa"/>
              <w:bottom w:w="160" w:type="dxa"/>
              <w:end w:w="210" w:type="dxa"/>
            </w:tcMar>
          </w:tcPr>
          <w:p>
            <w:pPr>
              <w:spacing w:after="60"/>
            </w:pPr>
            <w:r>
              <w:rPr>
                <w:rFonts w:ascii="Inter" w:hAnsi="Inter"/>
                <w:b/>
                <w:i w:val="0"/>
                <w:color w:val="149C95"/>
                <w:sz w:val="21"/>
              </w:rPr>
              <w:t>FINALITÀ</w:t>
            </w:r>
          </w:p>
          <w:p>
            <w:pPr>
              <w:spacing w:line="259" w:lineRule="auto"/>
            </w:pPr>
            <w:r>
              <w:rPr>
                <w:rFonts w:ascii="Inter" w:hAnsi="Inter"/>
                <w:b w:val="0"/>
                <w:i w:val="0"/>
                <w:color w:val="1C2633"/>
                <w:sz w:val="19"/>
              </w:rPr>
              <w:t>Non formare progettisti di reti neurali, ma fornire un modello mentale accurato quanto basta per comprendere i meccanismi di base, evitare antropomorfismi e collegare correttamente reti neurali, Transformer e sistemi generativi.</w:t>
            </w:r>
          </w:p>
        </w:tc>
      </w:tr>
    </w:tbl>
    <w:p>
      <w:pPr>
        <w:spacing w:after="20"/>
      </w:pPr>
    </w:p>
    <w:p>
      <w:pPr>
        <w:spacing w:before="200" w:after="100"/>
      </w:pPr>
      <w:r>
        <w:rPr>
          <w:rFonts w:ascii="Inter" w:hAnsi="Inter"/>
          <w:b/>
          <w:i w:val="0"/>
          <w:color w:val="132238"/>
          <w:sz w:val="28"/>
        </w:rPr>
        <w:t>Risultati di apprendimento attesi</w:t>
      </w:r>
    </w:p>
    <w:p>
      <w:pPr>
        <w:pStyle w:val="ListBullet"/>
        <w:spacing w:after="60"/>
        <w:ind w:left="198"/>
      </w:pPr>
      <w:r>
        <w:rPr>
          <w:rFonts w:ascii="Inter" w:hAnsi="Inter"/>
          <w:b w:val="0"/>
          <w:i w:val="0"/>
          <w:color w:val="1C2633"/>
          <w:sz w:val="20"/>
        </w:rPr>
        <w:t>Distinguere parametri appresi, attivazioni e coefficienti di attention.</w:t>
      </w:r>
    </w:p>
    <w:p>
      <w:pPr>
        <w:pStyle w:val="ListBullet"/>
        <w:spacing w:after="60"/>
        <w:ind w:left="198"/>
      </w:pPr>
      <w:r>
        <w:rPr>
          <w:rFonts w:ascii="Inter" w:hAnsi="Inter"/>
          <w:b w:val="0"/>
          <w:i w:val="0"/>
          <w:color w:val="1C2633"/>
          <w:sz w:val="20"/>
        </w:rPr>
        <w:t>Spiegare forward propagation, loss e backpropagation con linguaggio accessibile ma non fuorviante.</w:t>
      </w:r>
    </w:p>
    <w:p>
      <w:pPr>
        <w:pStyle w:val="ListBullet"/>
        <w:spacing w:after="60"/>
        <w:ind w:left="198"/>
      </w:pPr>
      <w:r>
        <w:rPr>
          <w:rFonts w:ascii="Inter" w:hAnsi="Inter"/>
          <w:b w:val="0"/>
          <w:i w:val="0"/>
          <w:color w:val="1C2633"/>
          <w:sz w:val="20"/>
        </w:rPr>
        <w:t>Usare AND e XOR per mostrare il salto concettuale tra singolo neurone e rappresentazioni nascoste.</w:t>
      </w:r>
    </w:p>
    <w:p>
      <w:pPr>
        <w:pStyle w:val="ListBullet"/>
        <w:spacing w:after="60"/>
        <w:ind w:left="198"/>
      </w:pPr>
      <w:r>
        <w:rPr>
          <w:rFonts w:ascii="Inter" w:hAnsi="Inter"/>
          <w:b w:val="0"/>
          <w:i w:val="0"/>
          <w:color w:val="1C2633"/>
          <w:sz w:val="20"/>
        </w:rPr>
        <w:t>Collegare la rete feed-forward dell’app ai Transformer esplicitando analogie e differenze.</w:t>
      </w:r>
    </w:p>
    <w:p>
      <w:pPr>
        <w:pStyle w:val="ListBullet"/>
        <w:spacing w:after="60"/>
        <w:ind w:left="198"/>
      </w:pPr>
      <w:r>
        <w:rPr>
          <w:rFonts w:ascii="Inter" w:hAnsi="Inter"/>
          <w:b w:val="0"/>
          <w:i w:val="0"/>
          <w:color w:val="1C2633"/>
          <w:sz w:val="20"/>
        </w:rPr>
        <w:t>Far comprendere perché plausibilità linguistica e accuratezza fattuale non coincidono.</w:t>
      </w:r>
    </w:p>
    <w:tbl>
      <w:tblPr>
        <w:tblW w:type="auto" w:w="0"/>
        <w:jc w:val="center"/>
        <w:tblLayout w:type="fixed"/>
        <w:tblLook w:firstColumn="1" w:firstRow="1" w:lastColumn="0" w:lastRow="0" w:noHBand="0" w:noVBand="1" w:val="04A0"/>
      </w:tblPr>
      <w:tblGrid>
        <w:gridCol w:w="181"/>
        <w:gridCol w:w="9241"/>
      </w:tblGrid>
      <w:tr>
        <w:tc>
          <w:tcPr>
            <w:tcW w:type="dxa" w:w="5018"/>
            <w:shd w:fill="B88A00"/>
            <w:tcBorders>
              <w:top w:val="single" w:sz="0" w:color="B88A00"/>
              <w:left w:val="single" w:sz="0" w:color="B88A00"/>
              <w:bottom w:val="single" w:sz="0" w:color="B88A00"/>
              <w:right w:val="single" w:sz="0" w:color="B88A00"/>
              <w:insideH w:val="single" w:sz="0" w:color="B88A00"/>
              <w:insideV w:val="single" w:sz="0" w:color="B88A00"/>
            </w:tcBorders>
            <w:tcMar>
              <w:top w:w="80" w:type="dxa"/>
              <w:start w:w="0" w:type="dxa"/>
              <w:bottom w:w="80" w:type="dxa"/>
              <w:end w:w="0" w:type="dxa"/>
            </w:tcMar>
          </w:tcPr>
          <w:p/>
        </w:tc>
        <w:tc>
          <w:tcPr>
            <w:tcW w:type="dxa" w:w="5018"/>
            <w:shd w:fill="FFF8D8"/>
            <w:tcBorders>
              <w:top w:val="single" w:sz="0" w:color="FFF8D8"/>
              <w:left w:val="single" w:sz="0" w:color="FFF8D8"/>
              <w:bottom w:val="single" w:sz="0" w:color="FFF8D8"/>
              <w:right w:val="single" w:sz="0" w:color="FFF8D8"/>
              <w:insideH w:val="single" w:sz="0" w:color="FFF8D8"/>
              <w:insideV w:val="single" w:sz="0" w:color="FFF8D8"/>
            </w:tcBorders>
            <w:tcMar>
              <w:top w:w="160" w:type="dxa"/>
              <w:start w:w="210" w:type="dxa"/>
              <w:bottom w:w="160" w:type="dxa"/>
              <w:end w:w="210" w:type="dxa"/>
            </w:tcMar>
          </w:tcPr>
          <w:p>
            <w:pPr>
              <w:spacing w:after="60"/>
            </w:pPr>
            <w:r>
              <w:rPr>
                <w:rFonts w:ascii="Inter" w:hAnsi="Inter"/>
                <w:b/>
                <w:i w:val="0"/>
                <w:color w:val="B88A00"/>
                <w:sz w:val="21"/>
              </w:rPr>
              <w:t>PRINCIPIO METODOLOGICO</w:t>
            </w:r>
          </w:p>
          <w:p>
            <w:pPr>
              <w:spacing w:line="259" w:lineRule="auto"/>
            </w:pPr>
            <w:r>
              <w:rPr>
                <w:rFonts w:ascii="Inter" w:hAnsi="Inter"/>
                <w:b w:val="0"/>
                <w:i w:val="0"/>
                <w:color w:val="1C2633"/>
                <w:sz w:val="19"/>
              </w:rPr>
              <w:t>Ogni metafora va accompagnata dal suo limite. “Volume”, “soglia”, “paesaggio della loss” e “indizi intermedi” sono strumenti di accesso; il docente deve poi ricondurre l’analogia alla trasformazione matematica effettiva.</w:t>
            </w:r>
          </w:p>
        </w:tc>
      </w:tr>
    </w:tbl>
    <w:p>
      <w:pPr>
        <w:spacing w:after="20"/>
      </w:pPr>
    </w:p>
    <w:p>
      <w:pPr>
        <w:pageBreakBefore/>
        <w:spacing w:before="80" w:after="140"/>
      </w:pPr>
      <w:r>
        <w:rPr>
          <w:rFonts w:ascii="Inter" w:hAnsi="Inter"/>
          <w:b/>
          <w:i w:val="0"/>
          <w:color w:val="2F80ED"/>
          <w:sz w:val="22"/>
        </w:rPr>
        <w:t xml:space="preserve">1  </w:t>
      </w:r>
      <w:r>
        <w:rPr>
          <w:rFonts w:ascii="Inter" w:hAnsi="Inter"/>
          <w:b/>
          <w:i w:val="0"/>
          <w:color w:val="132238"/>
          <w:sz w:val="40"/>
        </w:rPr>
        <w:t>Il nucleo matematico minimo</w:t>
      </w:r>
    </w:p>
    <w:p>
      <w:pPr>
        <w:spacing w:after="240"/>
      </w:pPr>
      <w:r>
        <w:rPr>
          <w:rFonts w:ascii="Inter" w:hAnsi="Inter"/>
          <w:b w:val="0"/>
          <w:i w:val="0"/>
          <w:color w:val="5F6B7A"/>
          <w:sz w:val="21"/>
        </w:rPr>
        <w:t>Quanto basta per mantenere correttezza concettuale senza trasformare il corso in un modulo di analisi numerica.</w:t>
      </w:r>
    </w:p>
    <w:tbl>
      <w:tblPr>
        <w:tblW w:type="auto" w:w="0"/>
        <w:tblLayout w:type="fixed"/>
        <w:tblLook w:firstColumn="1" w:firstRow="1" w:lastColumn="0" w:lastRow="0" w:noHBand="0" w:noVBand="1" w:val="04A0"/>
      </w:tblPr>
      <w:tblGrid>
        <w:gridCol w:w="2268"/>
        <w:gridCol w:w="7370"/>
      </w:tblGrid>
      <w:tr>
        <w:tc>
          <w:tcPr>
            <w:tcW w:type="dxa" w:w="5018"/>
            <w:shd w:fill="2F80ED"/>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5018"/>
            <w:shd w:fill="E8EEF5"/>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r>
    </w:tbl>
    <w:p>
      <w:pPr>
        <w:spacing w:after="20"/>
      </w:pPr>
    </w:p>
    <w:p>
      <w:pPr>
        <w:spacing w:after="60"/>
        <w:jc w:val="center"/>
      </w:pPr>
      <w:r>
        <w:drawing>
          <wp:inline xmlns:a="http://schemas.openxmlformats.org/drawingml/2006/main" xmlns:pic="http://schemas.openxmlformats.org/drawingml/2006/picture">
            <wp:extent cx="6012000" cy="2271200"/>
            <wp:docPr id="1" name="Picture 1"/>
            <wp:cNvGraphicFramePr>
              <a:graphicFrameLocks noChangeAspect="1"/>
            </wp:cNvGraphicFramePr>
            <a:graphic>
              <a:graphicData uri="http://schemas.openxmlformats.org/drawingml/2006/picture">
                <pic:pic>
                  <pic:nvPicPr>
                    <pic:cNvPr id="0" name="neurone.png"/>
                    <pic:cNvPicPr/>
                  </pic:nvPicPr>
                  <pic:blipFill>
                    <a:blip r:embed="rId11"/>
                    <a:stretch>
                      <a:fillRect/>
                    </a:stretch>
                  </pic:blipFill>
                  <pic:spPr>
                    <a:xfrm>
                      <a:off x="0" y="0"/>
                      <a:ext cx="6012000" cy="2271200"/>
                    </a:xfrm>
                    <a:prstGeom prst="rect"/>
                  </pic:spPr>
                </pic:pic>
              </a:graphicData>
            </a:graphic>
          </wp:inline>
        </w:drawing>
      </w:r>
    </w:p>
    <w:tbl>
      <w:tblPr>
        <w:tblW w:type="auto" w:w="0"/>
        <w:jc w:val="center"/>
        <w:tblLook w:firstColumn="1" w:firstRow="1" w:lastColumn="0" w:lastRow="0" w:noHBand="0" w:noVBand="1" w:val="04A0"/>
      </w:tblPr>
      <w:tblGrid>
        <w:gridCol w:w="10036"/>
      </w:tblGrid>
      <w:tr>
        <w:tc>
          <w:tcPr>
            <w:tcW w:type="dxa" w:w="10036"/>
            <w:shd w:fill="132238"/>
            <w:tcBorders>
              <w:top w:val="single" w:sz="0" w:color="132238"/>
              <w:left w:val="single" w:sz="0" w:color="132238"/>
              <w:bottom w:val="single" w:sz="0" w:color="132238"/>
              <w:right w:val="single" w:sz="0" w:color="132238"/>
              <w:insideH w:val="single" w:sz="0" w:color="132238"/>
              <w:insideV w:val="single" w:sz="0" w:color="132238"/>
            </w:tcBorders>
            <w:tcMar>
              <w:top w:w="150" w:type="dxa"/>
              <w:start w:w="180" w:type="dxa"/>
              <w:bottom w:w="150" w:type="dxa"/>
              <w:end w:w="180" w:type="dxa"/>
            </w:tcMar>
          </w:tcPr>
          <w:p>
            <w:pPr>
              <w:jc w:val="center"/>
            </w:pPr>
            <w:r>
              <w:rPr>
                <w:rFonts w:ascii="Inter" w:hAnsi="Inter"/>
                <w:b/>
                <w:i w:val="0"/>
                <w:color w:val="FFFFFF"/>
                <w:sz w:val="30"/>
              </w:rPr>
              <w:t>z = W·a + b     ;     a⁺ = f(z)</w:t>
            </w:r>
          </w:p>
        </w:tc>
      </w:tr>
      <w:tr>
        <w:tc>
          <w:tcPr>
            <w:tcW w:type="dxa" w:w="10036"/>
            <w:shd w:fill="F5F7FA"/>
            <w:tcBorders>
              <w:top w:val="single" w:sz="8" w:color="D8E1EC"/>
              <w:left w:val="single" w:sz="8" w:color="D8E1EC"/>
              <w:bottom w:val="single" w:sz="8" w:color="D8E1EC"/>
              <w:right w:val="single" w:sz="8" w:color="D8E1EC"/>
              <w:insideH w:val="single" w:sz="8" w:color="D8E1EC"/>
              <w:insideV w:val="single" w:sz="8" w:color="D8E1EC"/>
            </w:tcBorders>
            <w:tcMar>
              <w:top w:w="120" w:type="dxa"/>
              <w:start w:w="180" w:type="dxa"/>
              <w:bottom w:w="120" w:type="dxa"/>
              <w:end w:w="180" w:type="dxa"/>
            </w:tcMar>
          </w:tcPr>
          <w:p>
            <w:pPr>
              <w:jc w:val="center"/>
            </w:pPr>
            <w:r>
              <w:rPr>
                <w:rFonts w:ascii="Inter" w:hAnsi="Inter"/>
                <w:b w:val="0"/>
                <w:i w:val="0"/>
                <w:color w:val="5F6B7A"/>
                <w:sz w:val="19"/>
              </w:rPr>
              <w:t>Per uno strato: trasformazione affine seguita da una non linearità.</w:t>
            </w:r>
          </w:p>
        </w:tc>
      </w:tr>
    </w:tbl>
    <w:p>
      <w:pPr>
        <w:spacing w:after="40"/>
      </w:pPr>
    </w:p>
    <w:p>
      <w:pPr>
        <w:spacing w:after="120" w:line="269" w:lineRule="auto"/>
      </w:pPr>
      <w:r>
        <w:rPr>
          <w:rFonts w:ascii="Inter" w:hAnsi="Inter"/>
          <w:b w:val="0"/>
          <w:i w:val="0"/>
          <w:color w:val="1C2633"/>
          <w:sz w:val="20"/>
        </w:rPr>
        <w:t>Per il pubblico non specialistico è utile partire dal caso scalare z = Σ(xᵢwᵢ)+b e solo successivamente mostrare la notazione vettoriale. L’elemento da far emergere è che un neurone non contiene una regola simbolica esplicita: contiene parametri numerici che determinano come i segnali vengono trasformati.</w:t>
      </w:r>
    </w:p>
    <w:tbl>
      <w:tblPr>
        <w:tblW w:type="auto" w:w="0"/>
        <w:jc w:val="center"/>
        <w:tblLayout w:type="fixed"/>
        <w:tblLook w:firstColumn="1" w:firstRow="1" w:lastColumn="0" w:lastRow="0" w:noHBand="0" w:noVBand="1" w:val="04A0"/>
      </w:tblPr>
      <w:tblGrid>
        <w:gridCol w:w="181"/>
        <w:gridCol w:w="9241"/>
      </w:tblGrid>
      <w:tr>
        <w:tc>
          <w:tcPr>
            <w:tcW w:type="dxa" w:w="5018"/>
            <w:shd w:fill="27AE60"/>
            <w:tcBorders>
              <w:top w:val="single" w:sz="0" w:color="27AE60"/>
              <w:left w:val="single" w:sz="0" w:color="27AE60"/>
              <w:bottom w:val="single" w:sz="0" w:color="27AE60"/>
              <w:right w:val="single" w:sz="0" w:color="27AE60"/>
              <w:insideH w:val="single" w:sz="0" w:color="27AE60"/>
              <w:insideV w:val="single" w:sz="0" w:color="27AE60"/>
            </w:tcBorders>
            <w:tcMar>
              <w:top w:w="80" w:type="dxa"/>
              <w:start w:w="0" w:type="dxa"/>
              <w:bottom w:w="80" w:type="dxa"/>
              <w:end w:w="0" w:type="dxa"/>
            </w:tcMar>
          </w:tcPr>
          <w:p/>
        </w:tc>
        <w:tc>
          <w:tcPr>
            <w:tcW w:type="dxa" w:w="5018"/>
            <w:shd w:fill="E8F7EE"/>
            <w:tcBorders>
              <w:top w:val="single" w:sz="0" w:color="E8F7EE"/>
              <w:left w:val="single" w:sz="0" w:color="E8F7EE"/>
              <w:bottom w:val="single" w:sz="0" w:color="E8F7EE"/>
              <w:right w:val="single" w:sz="0" w:color="E8F7EE"/>
              <w:insideH w:val="single" w:sz="0" w:color="E8F7EE"/>
              <w:insideV w:val="single" w:sz="0" w:color="E8F7EE"/>
            </w:tcBorders>
            <w:tcMar>
              <w:top w:w="160" w:type="dxa"/>
              <w:start w:w="210" w:type="dxa"/>
              <w:bottom w:w="160" w:type="dxa"/>
              <w:end w:w="210" w:type="dxa"/>
            </w:tcMar>
          </w:tcPr>
          <w:p>
            <w:pPr>
              <w:spacing w:after="60"/>
            </w:pPr>
            <w:r>
              <w:rPr>
                <w:rFonts w:ascii="Inter" w:hAnsi="Inter"/>
                <w:b/>
                <w:i w:val="0"/>
                <w:color w:val="27AE60"/>
                <w:sz w:val="21"/>
              </w:rPr>
              <w:t>FORMULAZIONE CONSIGLIATA</w:t>
            </w:r>
          </w:p>
          <w:p>
            <w:pPr>
              <w:spacing w:line="259" w:lineRule="auto"/>
            </w:pPr>
            <w:r>
              <w:rPr>
                <w:rFonts w:ascii="Inter" w:hAnsi="Inter"/>
                <w:b w:val="0"/>
                <w:i w:val="0"/>
                <w:color w:val="1C2633"/>
                <w:sz w:val="19"/>
              </w:rPr>
              <w:t>“Ogni connessione trasporta un numero e lo moltiplica per un parametro. Il neurone combina questi contributi e applica una trasformazione. La rete intera è la composizione di moltissime trasformazioni di questo tipo.”</w:t>
            </w:r>
          </w:p>
        </w:tc>
      </w:tr>
    </w:tbl>
    <w:p>
      <w:pPr>
        <w:spacing w:after="20"/>
      </w:pPr>
    </w:p>
    <w:tbl>
      <w:tblPr>
        <w:tblW w:type="auto" w:w="0"/>
        <w:jc w:val="center"/>
        <w:tblLayout w:type="fixed"/>
        <w:tblLook w:firstColumn="1" w:firstRow="1" w:lastColumn="0" w:lastRow="0" w:noHBand="0" w:noVBand="1" w:val="04A0"/>
      </w:tblPr>
      <w:tblGrid>
        <w:gridCol w:w="181"/>
        <w:gridCol w:w="9241"/>
      </w:tblGrid>
      <w:tr>
        <w:tc>
          <w:tcPr>
            <w:tcW w:type="dxa" w:w="5018"/>
            <w:shd w:fill="D64545"/>
            <w:tcBorders>
              <w:top w:val="single" w:sz="0" w:color="D64545"/>
              <w:left w:val="single" w:sz="0" w:color="D64545"/>
              <w:bottom w:val="single" w:sz="0" w:color="D64545"/>
              <w:right w:val="single" w:sz="0" w:color="D64545"/>
              <w:insideH w:val="single" w:sz="0" w:color="D64545"/>
              <w:insideV w:val="single" w:sz="0" w:color="D64545"/>
            </w:tcBorders>
            <w:tcMar>
              <w:top w:w="80" w:type="dxa"/>
              <w:start w:w="0" w:type="dxa"/>
              <w:bottom w:w="80" w:type="dxa"/>
              <w:end w:w="0" w:type="dxa"/>
            </w:tcMar>
          </w:tcPr>
          <w:p/>
        </w:tc>
        <w:tc>
          <w:tcPr>
            <w:tcW w:type="dxa" w:w="5018"/>
            <w:shd w:fill="FDEAEA"/>
            <w:tcBorders>
              <w:top w:val="single" w:sz="0" w:color="FDEAEA"/>
              <w:left w:val="single" w:sz="0" w:color="FDEAEA"/>
              <w:bottom w:val="single" w:sz="0" w:color="FDEAEA"/>
              <w:right w:val="single" w:sz="0" w:color="FDEAEA"/>
              <w:insideH w:val="single" w:sz="0" w:color="FDEAEA"/>
              <w:insideV w:val="single" w:sz="0" w:color="FDEAEA"/>
            </w:tcBorders>
            <w:tcMar>
              <w:top w:w="160" w:type="dxa"/>
              <w:start w:w="210" w:type="dxa"/>
              <w:bottom w:w="160" w:type="dxa"/>
              <w:end w:w="210" w:type="dxa"/>
            </w:tcMar>
          </w:tcPr>
          <w:p>
            <w:pPr>
              <w:spacing w:after="60"/>
            </w:pPr>
            <w:r>
              <w:rPr>
                <w:rFonts w:ascii="Inter" w:hAnsi="Inter"/>
                <w:b/>
                <w:i w:val="0"/>
                <w:color w:val="D64545"/>
                <w:sz w:val="21"/>
              </w:rPr>
              <w:t>FORMULAZIONI DA EVITARE</w:t>
            </w:r>
          </w:p>
          <w:p>
            <w:pPr>
              <w:spacing w:line="259" w:lineRule="auto"/>
            </w:pPr>
            <w:r>
              <w:rPr>
                <w:rFonts w:ascii="Inter" w:hAnsi="Inter"/>
                <w:b w:val="0"/>
                <w:i w:val="0"/>
                <w:color w:val="1C2633"/>
                <w:sz w:val="19"/>
              </w:rPr>
              <w:t>“Il neurone pensa”, “sceglie la caratteristica importante”, “sa che questo è un gatto”. Sono scorciatoie linguistiche che rischiano di attribuire intenzionalità al calcolo.</w:t>
            </w:r>
          </w:p>
        </w:tc>
      </w:tr>
    </w:tbl>
    <w:p>
      <w:pPr>
        <w:spacing w:after="20"/>
      </w:pPr>
    </w:p>
    <w:p>
      <w:pPr>
        <w:pageBreakBefore/>
        <w:spacing w:before="80" w:after="140"/>
      </w:pPr>
      <w:r>
        <w:rPr>
          <w:rFonts w:ascii="Inter" w:hAnsi="Inter"/>
          <w:b/>
          <w:i w:val="0"/>
          <w:color w:val="2F80ED"/>
          <w:sz w:val="22"/>
        </w:rPr>
        <w:t xml:space="preserve">2  </w:t>
      </w:r>
      <w:r>
        <w:rPr>
          <w:rFonts w:ascii="Inter" w:hAnsi="Inter"/>
          <w:b/>
          <w:i w:val="0"/>
          <w:color w:val="132238"/>
          <w:sz w:val="40"/>
        </w:rPr>
        <w:t>Pesi, bias, attivazioni: spiegazione e misconcezioni</w:t>
      </w:r>
    </w:p>
    <w:p>
      <w:pPr>
        <w:spacing w:after="240"/>
      </w:pPr>
      <w:r>
        <w:rPr>
          <w:rFonts w:ascii="Inter" w:hAnsi="Inter"/>
          <w:b w:val="0"/>
          <w:i w:val="0"/>
          <w:color w:val="5F6B7A"/>
          <w:sz w:val="21"/>
        </w:rPr>
        <w:t>Le parole più semplici sono anche quelle che generano più equivoci.</w:t>
      </w:r>
    </w:p>
    <w:tbl>
      <w:tblPr>
        <w:tblW w:type="auto" w:w="0"/>
        <w:tblLayout w:type="fixed"/>
        <w:tblLook w:firstColumn="1" w:firstRow="1" w:lastColumn="0" w:lastRow="0" w:noHBand="0" w:noVBand="1" w:val="04A0"/>
      </w:tblPr>
      <w:tblGrid>
        <w:gridCol w:w="2268"/>
        <w:gridCol w:w="7370"/>
      </w:tblGrid>
      <w:tr>
        <w:tc>
          <w:tcPr>
            <w:tcW w:type="dxa" w:w="5018"/>
            <w:shd w:fill="2F80ED"/>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5018"/>
            <w:shd w:fill="E8EEF5"/>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r>
    </w:tbl>
    <w:p>
      <w:pPr>
        <w:spacing w:after="20"/>
      </w:pPr>
    </w:p>
    <w:tbl>
      <w:tblPr>
        <w:tblW w:type="auto" w:w="0"/>
        <w:jc w:val="center"/>
        <w:tblLayout w:type="fixed"/>
        <w:tblLook w:firstColumn="1" w:firstRow="1" w:lastColumn="0" w:lastRow="0" w:noHBand="0" w:noVBand="1" w:val="04A0"/>
      </w:tblPr>
      <w:tblGrid>
        <w:gridCol w:w="2509"/>
        <w:gridCol w:w="2509"/>
        <w:gridCol w:w="2509"/>
        <w:gridCol w:w="2509"/>
      </w:tblGrid>
      <w:tr>
        <w:tc>
          <w:tcPr>
            <w:tcW w:type="dxa" w:w="1531"/>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Termine</w:t>
            </w:r>
          </w:p>
        </w:tc>
        <w:tc>
          <w:tcPr>
            <w:tcW w:type="dxa" w:w="2721"/>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Definizione tecnica essenziale</w:t>
            </w:r>
          </w:p>
        </w:tc>
        <w:tc>
          <w:tcPr>
            <w:tcW w:type="dxa" w:w="2438"/>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Misconcezione frequente</w:t>
            </w:r>
          </w:p>
        </w:tc>
        <w:tc>
          <w:tcPr>
            <w:tcW w:type="dxa" w:w="2835"/>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Correzione</w:t>
            </w:r>
          </w:p>
        </w:tc>
      </w:tr>
      <w:tr>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Peso</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coefficiente moltiplicativo appreso</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“importanza assoluta” del collegamento</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il contributo dipende anche dal valore dell’attivazione in ingresso</w:t>
            </w:r>
          </w:p>
        </w:tc>
      </w:tr>
      <w:tr>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Bias</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termine additivo appreso</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“pregiudizio etico”</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è un offset matematico; il bias sociale è un altro concetto</w:t>
            </w:r>
          </w:p>
        </w:tc>
      </w:tr>
      <w:tr>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Attivazione</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valore prodotto dalla funzione f(z)</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“neurone acceso/spento” sempre binario</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molte attivazioni sono continue</w:t>
            </w:r>
          </w:p>
        </w:tc>
      </w:tr>
      <w:tr>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Layer</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insieme di trasformazioni parallele</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“livello di concetti umani”</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le rappresentazioni possono essere distribuite e non interpretabili singolarmente</w:t>
            </w:r>
          </w:p>
        </w:tc>
      </w:tr>
    </w:tbl>
    <w:p>
      <w:pPr>
        <w:spacing w:after="40"/>
      </w:pPr>
    </w:p>
    <w:p>
      <w:pPr>
        <w:spacing w:before="200" w:after="100"/>
      </w:pPr>
      <w:r>
        <w:rPr>
          <w:rFonts w:ascii="Inter" w:hAnsi="Inter"/>
          <w:b/>
          <w:i w:val="0"/>
          <w:color w:val="132238"/>
          <w:sz w:val="28"/>
        </w:rPr>
        <w:t>Pesi appresi vs attention weights</w:t>
      </w:r>
    </w:p>
    <w:tbl>
      <w:tblPr>
        <w:tblW w:type="auto" w:w="0"/>
        <w:jc w:val="center"/>
        <w:tblLayout w:type="fixed"/>
        <w:tblLook w:firstColumn="1" w:firstRow="1" w:lastColumn="0" w:lastRow="0" w:noHBand="0" w:noVBand="1" w:val="04A0"/>
      </w:tblPr>
      <w:tblGrid>
        <w:gridCol w:w="181"/>
        <w:gridCol w:w="9241"/>
      </w:tblGrid>
      <w:tr>
        <w:tc>
          <w:tcPr>
            <w:tcW w:type="dxa" w:w="5018"/>
            <w:shd w:fill="7657D5"/>
            <w:tcBorders>
              <w:top w:val="single" w:sz="0" w:color="7657D5"/>
              <w:left w:val="single" w:sz="0" w:color="7657D5"/>
              <w:bottom w:val="single" w:sz="0" w:color="7657D5"/>
              <w:right w:val="single" w:sz="0" w:color="7657D5"/>
              <w:insideH w:val="single" w:sz="0" w:color="7657D5"/>
              <w:insideV w:val="single" w:sz="0" w:color="7657D5"/>
            </w:tcBorders>
            <w:tcMar>
              <w:top w:w="80" w:type="dxa"/>
              <w:start w:w="0" w:type="dxa"/>
              <w:bottom w:w="80" w:type="dxa"/>
              <w:end w:w="0" w:type="dxa"/>
            </w:tcMar>
          </w:tcPr>
          <w:p/>
        </w:tc>
        <w:tc>
          <w:tcPr>
            <w:tcW w:type="dxa" w:w="5018"/>
            <w:shd w:fill="EEE9FF"/>
            <w:tcBorders>
              <w:top w:val="single" w:sz="0" w:color="EEE9FF"/>
              <w:left w:val="single" w:sz="0" w:color="EEE9FF"/>
              <w:bottom w:val="single" w:sz="0" w:color="EEE9FF"/>
              <w:right w:val="single" w:sz="0" w:color="EEE9FF"/>
              <w:insideH w:val="single" w:sz="0" w:color="EEE9FF"/>
              <w:insideV w:val="single" w:sz="0" w:color="EEE9FF"/>
            </w:tcBorders>
            <w:tcMar>
              <w:top w:w="160" w:type="dxa"/>
              <w:start w:w="210" w:type="dxa"/>
              <w:bottom w:w="160" w:type="dxa"/>
              <w:end w:w="210" w:type="dxa"/>
            </w:tcMar>
          </w:tcPr>
          <w:p>
            <w:pPr>
              <w:spacing w:after="60"/>
            </w:pPr>
            <w:r>
              <w:rPr>
                <w:rFonts w:ascii="Inter" w:hAnsi="Inter"/>
                <w:b/>
                <w:i w:val="0"/>
                <w:color w:val="7657D5"/>
                <w:sz w:val="21"/>
              </w:rPr>
              <w:t>DISTINZIONE CRITICA</w:t>
            </w:r>
          </w:p>
          <w:p>
            <w:pPr>
              <w:spacing w:line="259" w:lineRule="auto"/>
            </w:pPr>
            <w:r>
              <w:rPr>
                <w:rFonts w:ascii="Inter" w:hAnsi="Inter"/>
                <w:b w:val="0"/>
                <w:i w:val="0"/>
                <w:color w:val="1C2633"/>
                <w:sz w:val="19"/>
              </w:rPr>
              <w:t>Nei Transformer, “peso” può indicare sia i parametri appresi del modello sia, colloquialmente, i coefficienti di attention calcolati dinamicamente per un dato input. Nella formazione conviene usare due espressioni diverse: parametri appresi e coefficienti di attention.</w:t>
            </w:r>
          </w:p>
        </w:tc>
      </w:tr>
    </w:tbl>
    <w:p>
      <w:pPr>
        <w:spacing w:after="20"/>
      </w:pPr>
    </w:p>
    <w:p>
      <w:pPr>
        <w:pageBreakBefore/>
        <w:spacing w:before="80" w:after="140"/>
      </w:pPr>
      <w:r>
        <w:rPr>
          <w:rFonts w:ascii="Inter" w:hAnsi="Inter"/>
          <w:b/>
          <w:i w:val="0"/>
          <w:color w:val="2F80ED"/>
          <w:sz w:val="22"/>
        </w:rPr>
        <w:t xml:space="preserve">3  </w:t>
      </w:r>
      <w:r>
        <w:rPr>
          <w:rFonts w:ascii="Inter" w:hAnsi="Inter"/>
          <w:b/>
          <w:i w:val="0"/>
          <w:color w:val="132238"/>
          <w:sz w:val="40"/>
        </w:rPr>
        <w:t>AND come ponte tra logica e neurone</w:t>
      </w:r>
    </w:p>
    <w:p>
      <w:pPr>
        <w:spacing w:after="240"/>
      </w:pPr>
      <w:r>
        <w:rPr>
          <w:rFonts w:ascii="Inter" w:hAnsi="Inter"/>
          <w:b w:val="0"/>
          <w:i w:val="0"/>
          <w:color w:val="5F6B7A"/>
          <w:sz w:val="21"/>
        </w:rPr>
        <w:t>L’obiettivo non è insegnare le porte logiche, ma rendere visibile il concetto di frontiera decisionale.</w:t>
      </w:r>
    </w:p>
    <w:tbl>
      <w:tblPr>
        <w:tblW w:type="auto" w:w="0"/>
        <w:tblLayout w:type="fixed"/>
        <w:tblLook w:firstColumn="1" w:firstRow="1" w:lastColumn="0" w:lastRow="0" w:noHBand="0" w:noVBand="1" w:val="04A0"/>
      </w:tblPr>
      <w:tblGrid>
        <w:gridCol w:w="2268"/>
        <w:gridCol w:w="7370"/>
      </w:tblGrid>
      <w:tr>
        <w:tc>
          <w:tcPr>
            <w:tcW w:type="dxa" w:w="5018"/>
            <w:shd w:fill="2F80ED"/>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5018"/>
            <w:shd w:fill="E8EEF5"/>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r>
    </w:tbl>
    <w:p>
      <w:pPr>
        <w:spacing w:after="20"/>
      </w:pPr>
    </w:p>
    <w:tbl>
      <w:tblPr>
        <w:tblW w:type="auto" w:w="0"/>
        <w:jc w:val="center"/>
        <w:tblLayout w:type="fixed"/>
        <w:tblLook w:firstColumn="1" w:firstRow="1" w:lastColumn="0" w:lastRow="0" w:noHBand="0" w:noVBand="1" w:val="04A0"/>
      </w:tblPr>
      <w:tblGrid>
        <w:gridCol w:w="181"/>
        <w:gridCol w:w="9241"/>
      </w:tblGrid>
      <w:tr>
        <w:tc>
          <w:tcPr>
            <w:tcW w:type="dxa" w:w="5018"/>
            <w:shd w:fill="D64545"/>
            <w:tcBorders>
              <w:top w:val="single" w:sz="0" w:color="D64545"/>
              <w:left w:val="single" w:sz="0" w:color="D64545"/>
              <w:bottom w:val="single" w:sz="0" w:color="D64545"/>
              <w:right w:val="single" w:sz="0" w:color="D64545"/>
              <w:insideH w:val="single" w:sz="0" w:color="D64545"/>
              <w:insideV w:val="single" w:sz="0" w:color="D64545"/>
            </w:tcBorders>
            <w:tcMar>
              <w:top w:w="80" w:type="dxa"/>
              <w:start w:w="0" w:type="dxa"/>
              <w:bottom w:w="80" w:type="dxa"/>
              <w:end w:w="0" w:type="dxa"/>
            </w:tcMar>
          </w:tcPr>
          <w:p/>
        </w:tc>
        <w:tc>
          <w:tcPr>
            <w:tcW w:type="dxa" w:w="5018"/>
            <w:shd w:fill="FDEAEA"/>
            <w:tcBorders>
              <w:top w:val="single" w:sz="0" w:color="FDEAEA"/>
              <w:left w:val="single" w:sz="0" w:color="FDEAEA"/>
              <w:bottom w:val="single" w:sz="0" w:color="FDEAEA"/>
              <w:right w:val="single" w:sz="0" w:color="FDEAEA"/>
              <w:insideH w:val="single" w:sz="0" w:color="FDEAEA"/>
              <w:insideV w:val="single" w:sz="0" w:color="FDEAEA"/>
            </w:tcBorders>
            <w:tcMar>
              <w:top w:w="160" w:type="dxa"/>
              <w:start w:w="210" w:type="dxa"/>
              <w:bottom w:w="160" w:type="dxa"/>
              <w:end w:w="210" w:type="dxa"/>
            </w:tcMar>
          </w:tcPr>
          <w:p>
            <w:pPr>
              <w:spacing w:after="60"/>
            </w:pPr>
            <w:r>
              <w:rPr>
                <w:rFonts w:ascii="Inter" w:hAnsi="Inter"/>
                <w:b/>
                <w:i w:val="0"/>
                <w:color w:val="D64545"/>
                <w:sz w:val="21"/>
              </w:rPr>
              <w:t>PROBLEMA DIDATTICO</w:t>
            </w:r>
          </w:p>
          <w:p>
            <w:pPr>
              <w:spacing w:line="259" w:lineRule="auto"/>
            </w:pPr>
            <w:r>
              <w:rPr>
                <w:rFonts w:ascii="Inter" w:hAnsi="Inter"/>
                <w:b w:val="0"/>
                <w:i w:val="0"/>
                <w:color w:val="1C2633"/>
                <w:sz w:val="19"/>
              </w:rPr>
              <w:t>Molte dispense mostrano la tabella AND e poi saltano direttamente a pesi casuali. Per un non specialista manca il nesso causale: perché proprio quei pesi e quel bias producono AND?</w:t>
            </w:r>
          </w:p>
        </w:tc>
      </w:tr>
    </w:tbl>
    <w:p>
      <w:pPr>
        <w:spacing w:after="20"/>
      </w:pPr>
    </w:p>
    <w:tbl>
      <w:tblPr>
        <w:tblW w:type="auto" w:w="0"/>
        <w:jc w:val="center"/>
        <w:tblLayout w:type="fixed"/>
        <w:tblLook w:firstColumn="1" w:firstRow="1" w:lastColumn="0" w:lastRow="0" w:noHBand="0" w:noVBand="1" w:val="04A0"/>
      </w:tblPr>
      <w:tblGrid>
        <w:gridCol w:w="3345"/>
        <w:gridCol w:w="3345"/>
        <w:gridCol w:w="3345"/>
      </w:tblGrid>
      <w:tr>
        <w:tc>
          <w:tcPr>
            <w:tcW w:type="dxa" w:w="1701"/>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x₁</w:t>
            </w:r>
          </w:p>
        </w:tc>
        <w:tc>
          <w:tcPr>
            <w:tcW w:type="dxa" w:w="1701"/>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x₂</w:t>
            </w:r>
          </w:p>
        </w:tc>
        <w:tc>
          <w:tcPr>
            <w:tcW w:type="dxa" w:w="1701"/>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AND</w:t>
            </w:r>
          </w:p>
        </w:tc>
      </w:tr>
      <w:tr>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r>
      <w:tr>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r>
      <w:tr>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r>
      <w:tr>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r>
    </w:tbl>
    <w:p>
      <w:pPr>
        <w:spacing w:after="40"/>
      </w:pPr>
    </w:p>
    <w:tbl>
      <w:tblPr>
        <w:tblW w:type="auto" w:w="0"/>
        <w:jc w:val="center"/>
        <w:tblLook w:firstColumn="1" w:firstRow="1" w:lastColumn="0" w:lastRow="0" w:noHBand="0" w:noVBand="1" w:val="04A0"/>
      </w:tblPr>
      <w:tblGrid>
        <w:gridCol w:w="10036"/>
      </w:tblGrid>
      <w:tr>
        <w:tc>
          <w:tcPr>
            <w:tcW w:type="dxa" w:w="10036"/>
            <w:shd w:fill="132238"/>
            <w:tcBorders>
              <w:top w:val="single" w:sz="0" w:color="132238"/>
              <w:left w:val="single" w:sz="0" w:color="132238"/>
              <w:bottom w:val="single" w:sz="0" w:color="132238"/>
              <w:right w:val="single" w:sz="0" w:color="132238"/>
              <w:insideH w:val="single" w:sz="0" w:color="132238"/>
              <w:insideV w:val="single" w:sz="0" w:color="132238"/>
            </w:tcBorders>
            <w:tcMar>
              <w:top w:w="150" w:type="dxa"/>
              <w:start w:w="180" w:type="dxa"/>
              <w:bottom w:w="150" w:type="dxa"/>
              <w:end w:w="180" w:type="dxa"/>
            </w:tcMar>
          </w:tcPr>
          <w:p>
            <w:pPr>
              <w:jc w:val="center"/>
            </w:pPr>
            <w:r>
              <w:rPr>
                <w:rFonts w:ascii="Inter" w:hAnsi="Inter"/>
                <w:b/>
                <w:i w:val="0"/>
                <w:color w:val="FFFFFF"/>
                <w:sz w:val="30"/>
              </w:rPr>
              <w:t>z = x₁ + x₂ − 1,5     →     step(z)</w:t>
            </w:r>
          </w:p>
        </w:tc>
      </w:tr>
      <w:tr>
        <w:tc>
          <w:tcPr>
            <w:tcW w:type="dxa" w:w="10036"/>
            <w:shd w:fill="F5F7FA"/>
            <w:tcBorders>
              <w:top w:val="single" w:sz="8" w:color="D8E1EC"/>
              <w:left w:val="single" w:sz="8" w:color="D8E1EC"/>
              <w:bottom w:val="single" w:sz="8" w:color="D8E1EC"/>
              <w:right w:val="single" w:sz="8" w:color="D8E1EC"/>
              <w:insideH w:val="single" w:sz="8" w:color="D8E1EC"/>
              <w:insideV w:val="single" w:sz="8" w:color="D8E1EC"/>
            </w:tcBorders>
            <w:tcMar>
              <w:top w:w="120" w:type="dxa"/>
              <w:start w:w="180" w:type="dxa"/>
              <w:bottom w:w="120" w:type="dxa"/>
              <w:end w:w="180" w:type="dxa"/>
            </w:tcMar>
          </w:tcPr>
          <w:p>
            <w:pPr>
              <w:jc w:val="center"/>
            </w:pPr>
            <w:r>
              <w:rPr>
                <w:rFonts w:ascii="Inter" w:hAnsi="Inter"/>
                <w:b w:val="0"/>
                <w:i w:val="0"/>
                <w:color w:val="5F6B7A"/>
                <w:sz w:val="19"/>
              </w:rPr>
              <w:t>La soglia 0 equivale a chiedere: la somma x₁+x₂ è almeno 1,5? Solo 1+1 soddisfa la condizione.</w:t>
            </w:r>
          </w:p>
        </w:tc>
      </w:tr>
    </w:tbl>
    <w:p>
      <w:pPr>
        <w:spacing w:after="40"/>
      </w:pPr>
    </w:p>
    <w:tbl>
      <w:tblPr>
        <w:tblW w:type="auto" w:w="0"/>
        <w:jc w:val="center"/>
        <w:tblLayout w:type="fixed"/>
        <w:tblLook w:firstColumn="1" w:firstRow="1" w:lastColumn="0" w:lastRow="0" w:noHBand="0" w:noVBand="1" w:val="04A0"/>
      </w:tblPr>
      <w:tblGrid>
        <w:gridCol w:w="2509"/>
        <w:gridCol w:w="2509"/>
        <w:gridCol w:w="2509"/>
        <w:gridCol w:w="2509"/>
      </w:tblGrid>
      <w:tr>
        <w:tc>
          <w:tcPr>
            <w:tcW w:type="dxa" w:w="1701"/>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Input</w:t>
            </w:r>
          </w:p>
        </w:tc>
        <w:tc>
          <w:tcPr>
            <w:tcW w:type="dxa" w:w="2268"/>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Somma x₁+x₂</w:t>
            </w:r>
          </w:p>
        </w:tc>
        <w:tc>
          <w:tcPr>
            <w:tcW w:type="dxa" w:w="2835"/>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Dopo bias −1,5</w:t>
            </w:r>
          </w:p>
        </w:tc>
        <w:tc>
          <w:tcPr>
            <w:tcW w:type="dxa" w:w="1701"/>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Output</w:t>
            </w:r>
          </w:p>
        </w:tc>
      </w:tr>
      <w:tr>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0,0</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−1,5</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r>
      <w:tr>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0,1</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−0,5</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r>
      <w:tr>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1,0</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−0,5</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r>
      <w:tr>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1,1</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2</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+0,5</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r>
    </w:tbl>
    <w:p>
      <w:pPr>
        <w:spacing w:after="40"/>
      </w:pPr>
    </w:p>
    <w:tbl>
      <w:tblPr>
        <w:tblW w:type="auto" w:w="0"/>
        <w:jc w:val="center"/>
        <w:tblLayout w:type="fixed"/>
        <w:tblLook w:firstColumn="1" w:firstRow="1" w:lastColumn="0" w:lastRow="0" w:noHBand="0" w:noVBand="1" w:val="04A0"/>
      </w:tblPr>
      <w:tblGrid>
        <w:gridCol w:w="181"/>
        <w:gridCol w:w="9241"/>
      </w:tblGrid>
      <w:tr>
        <w:tc>
          <w:tcPr>
            <w:tcW w:type="dxa" w:w="5018"/>
            <w:shd w:fill="149C95"/>
            <w:tcBorders>
              <w:top w:val="single" w:sz="0" w:color="149C95"/>
              <w:left w:val="single" w:sz="0" w:color="149C95"/>
              <w:bottom w:val="single" w:sz="0" w:color="149C95"/>
              <w:right w:val="single" w:sz="0" w:color="149C95"/>
              <w:insideH w:val="single" w:sz="0" w:color="149C95"/>
              <w:insideV w:val="single" w:sz="0" w:color="149C95"/>
            </w:tcBorders>
            <w:tcMar>
              <w:top w:w="80" w:type="dxa"/>
              <w:start w:w="0" w:type="dxa"/>
              <w:bottom w:w="80" w:type="dxa"/>
              <w:end w:w="0" w:type="dxa"/>
            </w:tcMar>
          </w:tcPr>
          <w:p/>
        </w:tc>
        <w:tc>
          <w:tcPr>
            <w:tcW w:type="dxa" w:w="5018"/>
            <w:shd w:fill="E8F8F6"/>
            <w:tcBorders>
              <w:top w:val="single" w:sz="0" w:color="E8F8F6"/>
              <w:left w:val="single" w:sz="0" w:color="E8F8F6"/>
              <w:bottom w:val="single" w:sz="0" w:color="E8F8F6"/>
              <w:right w:val="single" w:sz="0" w:color="E8F8F6"/>
              <w:insideH w:val="single" w:sz="0" w:color="E8F8F6"/>
              <w:insideV w:val="single" w:sz="0" w:color="E8F8F6"/>
            </w:tcBorders>
            <w:tcMar>
              <w:top w:w="160" w:type="dxa"/>
              <w:start w:w="210" w:type="dxa"/>
              <w:bottom w:w="160" w:type="dxa"/>
              <w:end w:w="210" w:type="dxa"/>
            </w:tcMar>
          </w:tcPr>
          <w:p>
            <w:pPr>
              <w:spacing w:after="60"/>
            </w:pPr>
            <w:r>
              <w:rPr>
                <w:rFonts w:ascii="Inter" w:hAnsi="Inter"/>
                <w:b/>
                <w:i w:val="0"/>
                <w:color w:val="149C95"/>
                <w:sz w:val="21"/>
              </w:rPr>
              <w:t>DOMANDA DA PORRE</w:t>
            </w:r>
          </w:p>
          <w:p>
            <w:pPr>
              <w:spacing w:line="259" w:lineRule="auto"/>
            </w:pPr>
            <w:r>
              <w:rPr>
                <w:rFonts w:ascii="Inter" w:hAnsi="Inter"/>
                <w:b w:val="0"/>
                <w:i w:val="0"/>
                <w:color w:val="1C2633"/>
                <w:sz w:val="19"/>
              </w:rPr>
              <w:t>“Se volessi OR invece di AND, quale soglia dovrebbe cambiare?” Lasciare sperimentare il bias porta naturalmente a scoprire che una soglia più bassa (es. b = −0,5) basta per attivare l’uscita quando almeno un input vale 1.</w:t>
            </w:r>
          </w:p>
        </w:tc>
      </w:tr>
    </w:tbl>
    <w:p>
      <w:pPr>
        <w:spacing w:after="20"/>
      </w:pPr>
    </w:p>
    <w:p>
      <w:pPr>
        <w:pageBreakBefore w:val="0"/>
        <w:spacing w:before="80" w:after="140"/>
      </w:pPr>
      <w:r>
        <w:rPr>
          <w:rFonts w:ascii="Inter" w:hAnsi="Inter"/>
          <w:b/>
          <w:i w:val="0"/>
          <w:color w:val="2F80ED"/>
          <w:sz w:val="22"/>
        </w:rPr>
        <w:t xml:space="preserve">4  </w:t>
      </w:r>
      <w:r>
        <w:rPr>
          <w:rFonts w:ascii="Inter" w:hAnsi="Inter"/>
          <w:b/>
          <w:i w:val="0"/>
          <w:color w:val="132238"/>
          <w:sz w:val="40"/>
        </w:rPr>
        <w:t>XOR spiegato bene: il motivo dello strato nascosto</w:t>
      </w:r>
    </w:p>
    <w:p>
      <w:pPr>
        <w:spacing w:after="240"/>
      </w:pPr>
      <w:r>
        <w:rPr>
          <w:rFonts w:ascii="Inter" w:hAnsi="Inter"/>
          <w:b w:val="0"/>
          <w:i w:val="0"/>
          <w:color w:val="5F6B7A"/>
          <w:sz w:val="21"/>
        </w:rPr>
        <w:t>È il punto in cui il corsista può capire davvero perché “più strati” non è solo “più neuroni”.</w:t>
      </w:r>
    </w:p>
    <w:tbl>
      <w:tblPr>
        <w:tblW w:type="auto" w:w="0"/>
        <w:tblLayout w:type="fixed"/>
        <w:tblLook w:firstColumn="1" w:firstRow="1" w:lastColumn="0" w:lastRow="0" w:noHBand="0" w:noVBand="1" w:val="04A0"/>
      </w:tblPr>
      <w:tblGrid>
        <w:gridCol w:w="2268"/>
        <w:gridCol w:w="7370"/>
      </w:tblGrid>
      <w:tr>
        <w:tc>
          <w:tcPr>
            <w:tcW w:type="dxa" w:w="5018"/>
            <w:shd w:fill="2F80ED"/>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5018"/>
            <w:shd w:fill="E8EEF5"/>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r>
    </w:tbl>
    <w:p>
      <w:pPr>
        <w:spacing w:after="20"/>
      </w:pPr>
    </w:p>
    <w:p>
      <w:pPr>
        <w:spacing w:after="60"/>
        <w:jc w:val="center"/>
      </w:pPr>
      <w:r>
        <w:drawing>
          <wp:inline xmlns:a="http://schemas.openxmlformats.org/drawingml/2006/main" xmlns:pic="http://schemas.openxmlformats.org/drawingml/2006/picture">
            <wp:extent cx="6012000" cy="2672000"/>
            <wp:docPr id="2" name="Picture 2"/>
            <wp:cNvGraphicFramePr>
              <a:graphicFrameLocks noChangeAspect="1"/>
            </wp:cNvGraphicFramePr>
            <a:graphic>
              <a:graphicData uri="http://schemas.openxmlformats.org/drawingml/2006/picture">
                <pic:pic>
                  <pic:nvPicPr>
                    <pic:cNvPr id="0" name="xor.png"/>
                    <pic:cNvPicPr/>
                  </pic:nvPicPr>
                  <pic:blipFill>
                    <a:blip r:embed="rId12"/>
                    <a:stretch>
                      <a:fillRect/>
                    </a:stretch>
                  </pic:blipFill>
                  <pic:spPr>
                    <a:xfrm>
                      <a:off x="0" y="0"/>
                      <a:ext cx="6012000" cy="2672000"/>
                    </a:xfrm>
                    <a:prstGeom prst="rect"/>
                  </pic:spPr>
                </pic:pic>
              </a:graphicData>
            </a:graphic>
          </wp:inline>
        </w:drawing>
      </w:r>
    </w:p>
    <w:p>
      <w:pPr>
        <w:spacing w:before="200" w:after="100"/>
      </w:pPr>
      <w:r>
        <w:rPr>
          <w:rFonts w:ascii="Inter" w:hAnsi="Inter"/>
          <w:b/>
          <w:i w:val="0"/>
          <w:color w:val="132238"/>
          <w:sz w:val="28"/>
        </w:rPr>
        <w:t>1. Il problema geometrico</w:t>
      </w:r>
    </w:p>
    <w:p>
      <w:pPr>
        <w:spacing w:after="120" w:line="269" w:lineRule="auto"/>
      </w:pPr>
      <w:r>
        <w:rPr>
          <w:rFonts w:ascii="Inter" w:hAnsi="Inter"/>
          <w:b w:val="0"/>
          <w:i w:val="0"/>
          <w:color w:val="1C2633"/>
          <w:sz w:val="20"/>
        </w:rPr>
        <w:t>I quattro punti (0,0), (0,1), (1,0), (1,1) hanno etichette 0,1,1,0. Nessuna singola retta separa i due punti positivi dai due negativi. Un neurone lineare + soglia produce una sola frontiera lineare: quindi non può implementare XOR.</w:t>
      </w:r>
    </w:p>
    <w:p>
      <w:pPr>
        <w:spacing w:before="200" w:after="100"/>
      </w:pPr>
      <w:r>
        <w:rPr>
          <w:rFonts w:ascii="Inter" w:hAnsi="Inter"/>
          <w:b/>
          <w:i w:val="0"/>
          <w:color w:val="132238"/>
          <w:sz w:val="28"/>
        </w:rPr>
        <w:t>2. La rappresentazione intermedia</w:t>
      </w:r>
    </w:p>
    <w:p>
      <w:pPr>
        <w:spacing w:after="120" w:line="269" w:lineRule="auto"/>
      </w:pPr>
      <w:r>
        <w:rPr>
          <w:rFonts w:ascii="Inter" w:hAnsi="Inter"/>
          <w:b w:val="0"/>
          <w:i w:val="0"/>
          <w:color w:val="1C2633"/>
          <w:sz w:val="20"/>
        </w:rPr>
        <w:t>Un hidden layer può trasformare gli input in due caratteristiche: h₁ = OR e h₂ = NAND. Nel nuovo spazio (h₁,h₂), XOR diventa semplicemente AND. Questa costruzione non è l’unico modo di realizzare XOR, ma è pedagogicamente trasparente.</w:t>
      </w:r>
    </w:p>
    <w:tbl>
      <w:tblPr>
        <w:tblW w:type="auto" w:w="0"/>
        <w:jc w:val="center"/>
        <w:tblLayout w:type="fixed"/>
        <w:tblLook w:firstColumn="1" w:firstRow="1" w:lastColumn="0" w:lastRow="0" w:noHBand="0" w:noVBand="1" w:val="04A0"/>
      </w:tblPr>
      <w:tblGrid>
        <w:gridCol w:w="2007"/>
        <w:gridCol w:w="2007"/>
        <w:gridCol w:w="2007"/>
        <w:gridCol w:w="2007"/>
        <w:gridCol w:w="2007"/>
      </w:tblGrid>
      <w:tr>
        <w:tc>
          <w:tcPr>
            <w:tcW w:type="dxa" w:w="964"/>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x₁</w:t>
            </w:r>
          </w:p>
        </w:tc>
        <w:tc>
          <w:tcPr>
            <w:tcW w:type="dxa" w:w="964"/>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x₂</w:t>
            </w:r>
          </w:p>
        </w:tc>
        <w:tc>
          <w:tcPr>
            <w:tcW w:type="dxa" w:w="1417"/>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OR</w:t>
            </w:r>
          </w:p>
        </w:tc>
        <w:tc>
          <w:tcPr>
            <w:tcW w:type="dxa" w:w="1701"/>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NAND</w:t>
            </w:r>
          </w:p>
        </w:tc>
        <w:tc>
          <w:tcPr>
            <w:tcW w:type="dxa" w:w="3969"/>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AND(OR,NAND)=XOR</w:t>
            </w:r>
          </w:p>
        </w:tc>
      </w:tr>
      <w:tr>
        <w:tc>
          <w:tcPr>
            <w:tcW w:type="dxa" w:w="2007"/>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c>
          <w:tcPr>
            <w:tcW w:type="dxa" w:w="2007"/>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c>
          <w:tcPr>
            <w:tcW w:type="dxa" w:w="2007"/>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c>
          <w:tcPr>
            <w:tcW w:type="dxa" w:w="2007"/>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c>
          <w:tcPr>
            <w:tcW w:type="dxa" w:w="2007"/>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r>
      <w:tr>
        <w:tc>
          <w:tcPr>
            <w:tcW w:type="dxa" w:w="2007"/>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c>
          <w:tcPr>
            <w:tcW w:type="dxa" w:w="2007"/>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c>
          <w:tcPr>
            <w:tcW w:type="dxa" w:w="2007"/>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c>
          <w:tcPr>
            <w:tcW w:type="dxa" w:w="2007"/>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c>
          <w:tcPr>
            <w:tcW w:type="dxa" w:w="2007"/>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r>
      <w:tr>
        <w:tc>
          <w:tcPr>
            <w:tcW w:type="dxa" w:w="2007"/>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c>
          <w:tcPr>
            <w:tcW w:type="dxa" w:w="2007"/>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c>
          <w:tcPr>
            <w:tcW w:type="dxa" w:w="2007"/>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c>
          <w:tcPr>
            <w:tcW w:type="dxa" w:w="2007"/>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c>
          <w:tcPr>
            <w:tcW w:type="dxa" w:w="2007"/>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r>
      <w:tr>
        <w:tc>
          <w:tcPr>
            <w:tcW w:type="dxa" w:w="2007"/>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c>
          <w:tcPr>
            <w:tcW w:type="dxa" w:w="2007"/>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c>
          <w:tcPr>
            <w:tcW w:type="dxa" w:w="2007"/>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w:t>
            </w:r>
          </w:p>
        </w:tc>
        <w:tc>
          <w:tcPr>
            <w:tcW w:type="dxa" w:w="2007"/>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c>
          <w:tcPr>
            <w:tcW w:type="dxa" w:w="2007"/>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w:t>
            </w:r>
          </w:p>
        </w:tc>
      </w:tr>
    </w:tbl>
    <w:p>
      <w:pPr>
        <w:spacing w:after="40"/>
      </w:pPr>
    </w:p>
    <w:p>
      <w:pPr>
        <w:spacing w:before="200" w:after="100"/>
      </w:pPr>
      <w:r>
        <w:rPr>
          <w:rFonts w:ascii="Inter" w:hAnsi="Inter"/>
          <w:b/>
          <w:i w:val="0"/>
          <w:color w:val="132238"/>
          <w:sz w:val="28"/>
        </w:rPr>
        <w:t>3. Una parametrizzazione a soglia</w:t>
      </w:r>
    </w:p>
    <w:tbl>
      <w:tblPr>
        <w:tblW w:type="auto" w:w="0"/>
        <w:jc w:val="center"/>
        <w:tblLook w:firstColumn="1" w:firstRow="1" w:lastColumn="0" w:lastRow="0" w:noHBand="0" w:noVBand="1" w:val="04A0"/>
      </w:tblPr>
      <w:tblGrid>
        <w:gridCol w:w="10036"/>
      </w:tblGrid>
      <w:tr>
        <w:tc>
          <w:tcPr>
            <w:tcW w:type="dxa" w:w="10036"/>
            <w:shd w:fill="132238"/>
            <w:tcBorders>
              <w:top w:val="single" w:sz="0" w:color="132238"/>
              <w:left w:val="single" w:sz="0" w:color="132238"/>
              <w:bottom w:val="single" w:sz="0" w:color="132238"/>
              <w:right w:val="single" w:sz="0" w:color="132238"/>
              <w:insideH w:val="single" w:sz="0" w:color="132238"/>
              <w:insideV w:val="single" w:sz="0" w:color="132238"/>
            </w:tcBorders>
            <w:tcMar>
              <w:top w:w="150" w:type="dxa"/>
              <w:start w:w="180" w:type="dxa"/>
              <w:bottom w:w="150" w:type="dxa"/>
              <w:end w:w="180" w:type="dxa"/>
            </w:tcMar>
          </w:tcPr>
          <w:p>
            <w:pPr>
              <w:jc w:val="center"/>
            </w:pPr>
            <w:r>
              <w:rPr>
                <w:rFonts w:ascii="Inter" w:hAnsi="Inter"/>
                <w:b/>
                <w:i w:val="0"/>
                <w:color w:val="FFFFFF"/>
                <w:sz w:val="30"/>
              </w:rPr>
              <w:t>h₁ = step(x₁+x₂−0,5)     ;     h₂ = step(−x₁−x₂+1,5)</w:t>
            </w:r>
          </w:p>
        </w:tc>
      </w:tr>
      <w:tr>
        <w:tc>
          <w:tcPr>
            <w:tcW w:type="dxa" w:w="10036"/>
            <w:shd w:fill="F5F7FA"/>
            <w:tcBorders>
              <w:top w:val="single" w:sz="8" w:color="D8E1EC"/>
              <w:left w:val="single" w:sz="8" w:color="D8E1EC"/>
              <w:bottom w:val="single" w:sz="8" w:color="D8E1EC"/>
              <w:right w:val="single" w:sz="8" w:color="D8E1EC"/>
              <w:insideH w:val="single" w:sz="8" w:color="D8E1EC"/>
              <w:insideV w:val="single" w:sz="8" w:color="D8E1EC"/>
            </w:tcBorders>
            <w:tcMar>
              <w:top w:w="120" w:type="dxa"/>
              <w:start w:w="180" w:type="dxa"/>
              <w:bottom w:w="120" w:type="dxa"/>
              <w:end w:w="180" w:type="dxa"/>
            </w:tcMar>
          </w:tcPr>
          <w:p>
            <w:pPr>
              <w:jc w:val="center"/>
            </w:pPr>
            <w:r>
              <w:rPr>
                <w:rFonts w:ascii="Inter" w:hAnsi="Inter"/>
                <w:b w:val="0"/>
                <w:i w:val="0"/>
                <w:color w:val="5F6B7A"/>
                <w:sz w:val="19"/>
              </w:rPr>
              <w:t>h₁ realizza OR; h₂ realizza NAND.</w:t>
            </w:r>
          </w:p>
        </w:tc>
      </w:tr>
    </w:tbl>
    <w:p>
      <w:pPr>
        <w:spacing w:after="40"/>
      </w:pPr>
    </w:p>
    <w:tbl>
      <w:tblPr>
        <w:tblW w:type="auto" w:w="0"/>
        <w:jc w:val="center"/>
        <w:tblLook w:firstColumn="1" w:firstRow="1" w:lastColumn="0" w:lastRow="0" w:noHBand="0" w:noVBand="1" w:val="04A0"/>
      </w:tblPr>
      <w:tblGrid>
        <w:gridCol w:w="10036"/>
      </w:tblGrid>
      <w:tr>
        <w:tc>
          <w:tcPr>
            <w:tcW w:type="dxa" w:w="10036"/>
            <w:shd w:fill="132238"/>
            <w:tcBorders>
              <w:top w:val="single" w:sz="0" w:color="132238"/>
              <w:left w:val="single" w:sz="0" w:color="132238"/>
              <w:bottom w:val="single" w:sz="0" w:color="132238"/>
              <w:right w:val="single" w:sz="0" w:color="132238"/>
              <w:insideH w:val="single" w:sz="0" w:color="132238"/>
              <w:insideV w:val="single" w:sz="0" w:color="132238"/>
            </w:tcBorders>
            <w:tcMar>
              <w:top w:w="150" w:type="dxa"/>
              <w:start w:w="180" w:type="dxa"/>
              <w:bottom w:w="150" w:type="dxa"/>
              <w:end w:w="180" w:type="dxa"/>
            </w:tcMar>
          </w:tcPr>
          <w:p>
            <w:pPr>
              <w:jc w:val="center"/>
            </w:pPr>
            <w:r>
              <w:rPr>
                <w:rFonts w:ascii="Inter" w:hAnsi="Inter"/>
                <w:b/>
                <w:i w:val="0"/>
                <w:color w:val="FFFFFF"/>
                <w:sz w:val="30"/>
              </w:rPr>
              <w:t>y = step(h₁+h₂−1,5)</w:t>
            </w:r>
          </w:p>
        </w:tc>
      </w:tr>
      <w:tr>
        <w:tc>
          <w:tcPr>
            <w:tcW w:type="dxa" w:w="10036"/>
            <w:shd w:fill="F5F7FA"/>
            <w:tcBorders>
              <w:top w:val="single" w:sz="8" w:color="D8E1EC"/>
              <w:left w:val="single" w:sz="8" w:color="D8E1EC"/>
              <w:bottom w:val="single" w:sz="8" w:color="D8E1EC"/>
              <w:right w:val="single" w:sz="8" w:color="D8E1EC"/>
              <w:insideH w:val="single" w:sz="8" w:color="D8E1EC"/>
              <w:insideV w:val="single" w:sz="8" w:color="D8E1EC"/>
            </w:tcBorders>
            <w:tcMar>
              <w:top w:w="120" w:type="dxa"/>
              <w:start w:w="180" w:type="dxa"/>
              <w:bottom w:w="120" w:type="dxa"/>
              <w:end w:w="180" w:type="dxa"/>
            </w:tcMar>
          </w:tcPr>
          <w:p>
            <w:pPr>
              <w:jc w:val="center"/>
            </w:pPr>
            <w:r>
              <w:rPr>
                <w:rFonts w:ascii="Inter" w:hAnsi="Inter"/>
                <w:b w:val="0"/>
                <w:i w:val="0"/>
                <w:color w:val="5F6B7A"/>
                <w:sz w:val="19"/>
              </w:rPr>
              <w:t>L’output realizza AND delle due caratteristiche intermedie.</w:t>
            </w:r>
          </w:p>
        </w:tc>
      </w:tr>
    </w:tbl>
    <w:p>
      <w:pPr>
        <w:spacing w:after="40"/>
      </w:pPr>
    </w:p>
    <w:tbl>
      <w:tblPr>
        <w:tblW w:type="auto" w:w="0"/>
        <w:jc w:val="center"/>
        <w:tblLayout w:type="fixed"/>
        <w:tblLook w:firstColumn="1" w:firstRow="1" w:lastColumn="0" w:lastRow="0" w:noHBand="0" w:noVBand="1" w:val="04A0"/>
      </w:tblPr>
      <w:tblGrid>
        <w:gridCol w:w="181"/>
        <w:gridCol w:w="9241"/>
      </w:tblGrid>
      <w:tr>
        <w:tc>
          <w:tcPr>
            <w:tcW w:type="dxa" w:w="5018"/>
            <w:shd w:fill="7657D5"/>
            <w:tcBorders>
              <w:top w:val="single" w:sz="0" w:color="7657D5"/>
              <w:left w:val="single" w:sz="0" w:color="7657D5"/>
              <w:bottom w:val="single" w:sz="0" w:color="7657D5"/>
              <w:right w:val="single" w:sz="0" w:color="7657D5"/>
              <w:insideH w:val="single" w:sz="0" w:color="7657D5"/>
              <w:insideV w:val="single" w:sz="0" w:color="7657D5"/>
            </w:tcBorders>
            <w:tcMar>
              <w:top w:w="80" w:type="dxa"/>
              <w:start w:w="0" w:type="dxa"/>
              <w:bottom w:w="80" w:type="dxa"/>
              <w:end w:w="0" w:type="dxa"/>
            </w:tcMar>
          </w:tcPr>
          <w:p/>
        </w:tc>
        <w:tc>
          <w:tcPr>
            <w:tcW w:type="dxa" w:w="5018"/>
            <w:shd w:fill="EEE9FF"/>
            <w:tcBorders>
              <w:top w:val="single" w:sz="0" w:color="EEE9FF"/>
              <w:left w:val="single" w:sz="0" w:color="EEE9FF"/>
              <w:bottom w:val="single" w:sz="0" w:color="EEE9FF"/>
              <w:right w:val="single" w:sz="0" w:color="EEE9FF"/>
              <w:insideH w:val="single" w:sz="0" w:color="EEE9FF"/>
              <w:insideV w:val="single" w:sz="0" w:color="EEE9FF"/>
            </w:tcBorders>
            <w:tcMar>
              <w:top w:w="160" w:type="dxa"/>
              <w:start w:w="210" w:type="dxa"/>
              <w:bottom w:w="160" w:type="dxa"/>
              <w:end w:w="210" w:type="dxa"/>
            </w:tcMar>
          </w:tcPr>
          <w:p>
            <w:pPr>
              <w:spacing w:after="60"/>
            </w:pPr>
            <w:r>
              <w:rPr>
                <w:rFonts w:ascii="Inter" w:hAnsi="Inter"/>
                <w:b/>
                <w:i w:val="0"/>
                <w:color w:val="7657D5"/>
                <w:sz w:val="21"/>
              </w:rPr>
              <w:t>MESSAGGIO DIDATTICO</w:t>
            </w:r>
          </w:p>
          <w:p>
            <w:pPr>
              <w:spacing w:line="259" w:lineRule="auto"/>
            </w:pPr>
            <w:r>
              <w:rPr>
                <w:rFonts w:ascii="Inter" w:hAnsi="Inter"/>
                <w:b w:val="0"/>
                <w:i w:val="0"/>
                <w:color w:val="1C2633"/>
                <w:sz w:val="19"/>
              </w:rPr>
              <w:t>Lo strato nascosto non è un “luogo dove la rete pensa”: è una trasformazione che crea nuove coordinate/rappresentazioni del problema. La profondità permette di comporre trasformazioni e ottenere frontiere decisionali più articolate.</w:t>
            </w:r>
          </w:p>
        </w:tc>
      </w:tr>
    </w:tbl>
    <w:p>
      <w:pPr>
        <w:spacing w:after="20"/>
      </w:pPr>
    </w:p>
    <w:p>
      <w:pPr>
        <w:pageBreakBefore w:val="0"/>
        <w:spacing w:before="80" w:after="140"/>
      </w:pPr>
      <w:r>
        <w:rPr>
          <w:rFonts w:ascii="Inter" w:hAnsi="Inter"/>
          <w:b/>
          <w:i w:val="0"/>
          <w:color w:val="2F80ED"/>
          <w:sz w:val="22"/>
        </w:rPr>
        <w:t xml:space="preserve">5  </w:t>
      </w:r>
      <w:r>
        <w:rPr>
          <w:rFonts w:ascii="Inter" w:hAnsi="Inter"/>
          <w:b/>
          <w:i w:val="0"/>
          <w:color w:val="132238"/>
          <w:sz w:val="40"/>
        </w:rPr>
        <w:t>Addestramento: dalla loss all’aggiornamento dei parametri</w:t>
      </w:r>
    </w:p>
    <w:p>
      <w:pPr>
        <w:spacing w:after="240"/>
      </w:pPr>
      <w:r>
        <w:rPr>
          <w:rFonts w:ascii="Inter" w:hAnsi="Inter"/>
          <w:b w:val="0"/>
          <w:i w:val="0"/>
          <w:color w:val="5F6B7A"/>
          <w:sz w:val="21"/>
        </w:rPr>
        <w:t>Spiegare il ciclo senza nascondere l’idea del gradiente.</w:t>
      </w:r>
    </w:p>
    <w:tbl>
      <w:tblPr>
        <w:tblW w:type="auto" w:w="0"/>
        <w:tblLayout w:type="fixed"/>
        <w:tblLook w:firstColumn="1" w:firstRow="1" w:lastColumn="0" w:lastRow="0" w:noHBand="0" w:noVBand="1" w:val="04A0"/>
      </w:tblPr>
      <w:tblGrid>
        <w:gridCol w:w="2268"/>
        <w:gridCol w:w="7370"/>
      </w:tblGrid>
      <w:tr>
        <w:tc>
          <w:tcPr>
            <w:tcW w:type="dxa" w:w="5018"/>
            <w:shd w:fill="2F80ED"/>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5018"/>
            <w:shd w:fill="E8EEF5"/>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r>
    </w:tbl>
    <w:p>
      <w:pPr>
        <w:spacing w:after="20"/>
      </w:pPr>
    </w:p>
    <w:p>
      <w:pPr>
        <w:spacing w:after="60"/>
        <w:jc w:val="center"/>
      </w:pPr>
      <w:r>
        <w:drawing>
          <wp:inline xmlns:a="http://schemas.openxmlformats.org/drawingml/2006/main" xmlns:pic="http://schemas.openxmlformats.org/drawingml/2006/picture">
            <wp:extent cx="6012000" cy="2070800"/>
            <wp:docPr id="3" name="Picture 3"/>
            <wp:cNvGraphicFramePr>
              <a:graphicFrameLocks noChangeAspect="1"/>
            </wp:cNvGraphicFramePr>
            <a:graphic>
              <a:graphicData uri="http://schemas.openxmlformats.org/drawingml/2006/picture">
                <pic:pic>
                  <pic:nvPicPr>
                    <pic:cNvPr id="0" name="learning.png"/>
                    <pic:cNvPicPr/>
                  </pic:nvPicPr>
                  <pic:blipFill>
                    <a:blip r:embed="rId13"/>
                    <a:stretch>
                      <a:fillRect/>
                    </a:stretch>
                  </pic:blipFill>
                  <pic:spPr>
                    <a:xfrm>
                      <a:off x="0" y="0"/>
                      <a:ext cx="6012000" cy="2070800"/>
                    </a:xfrm>
                    <a:prstGeom prst="rect"/>
                  </pic:spPr>
                </pic:pic>
              </a:graphicData>
            </a:graphic>
          </wp:inline>
        </w:drawing>
      </w:r>
    </w:p>
    <w:p>
      <w:pPr>
        <w:spacing w:after="120" w:line="269" w:lineRule="auto"/>
      </w:pPr>
      <w:r>
        <w:rPr>
          <w:rFonts w:ascii="Inter" w:hAnsi="Inter"/>
          <w:b w:val="0"/>
          <w:i w:val="0"/>
          <w:color w:val="1C2633"/>
          <w:sz w:val="20"/>
        </w:rPr>
        <w:t>La loss è una funzione scelta per quantificare l’errore. La backpropagation, applicando la regola della catena, permette di calcolare in modo efficiente le derivate della loss rispetto ai parametri. L’ottimizzatore usa questi gradienti per proporre piccoli aggiornamenti.</w:t>
      </w:r>
    </w:p>
    <w:tbl>
      <w:tblPr>
        <w:tblW w:type="auto" w:w="0"/>
        <w:jc w:val="center"/>
        <w:tblLook w:firstColumn="1" w:firstRow="1" w:lastColumn="0" w:lastRow="0" w:noHBand="0" w:noVBand="1" w:val="04A0"/>
      </w:tblPr>
      <w:tblGrid>
        <w:gridCol w:w="10036"/>
      </w:tblGrid>
      <w:tr>
        <w:tc>
          <w:tcPr>
            <w:tcW w:type="dxa" w:w="10036"/>
            <w:shd w:fill="132238"/>
            <w:tcBorders>
              <w:top w:val="single" w:sz="0" w:color="132238"/>
              <w:left w:val="single" w:sz="0" w:color="132238"/>
              <w:bottom w:val="single" w:sz="0" w:color="132238"/>
              <w:right w:val="single" w:sz="0" w:color="132238"/>
              <w:insideH w:val="single" w:sz="0" w:color="132238"/>
              <w:insideV w:val="single" w:sz="0" w:color="132238"/>
            </w:tcBorders>
            <w:tcMar>
              <w:top w:w="150" w:type="dxa"/>
              <w:start w:w="180" w:type="dxa"/>
              <w:bottom w:w="150" w:type="dxa"/>
              <w:end w:w="180" w:type="dxa"/>
            </w:tcMar>
          </w:tcPr>
          <w:p>
            <w:pPr>
              <w:jc w:val="center"/>
            </w:pPr>
            <w:r>
              <w:rPr>
                <w:rFonts w:ascii="Inter" w:hAnsi="Inter"/>
                <w:b/>
                <w:i w:val="0"/>
                <w:color w:val="FFFFFF"/>
                <w:sz w:val="30"/>
              </w:rPr>
              <w:t>θ ← θ − η · ∇L(θ)</w:t>
            </w:r>
          </w:p>
        </w:tc>
      </w:tr>
      <w:tr>
        <w:tc>
          <w:tcPr>
            <w:tcW w:type="dxa" w:w="10036"/>
            <w:shd w:fill="F5F7FA"/>
            <w:tcBorders>
              <w:top w:val="single" w:sz="8" w:color="D8E1EC"/>
              <w:left w:val="single" w:sz="8" w:color="D8E1EC"/>
              <w:bottom w:val="single" w:sz="8" w:color="D8E1EC"/>
              <w:right w:val="single" w:sz="8" w:color="D8E1EC"/>
              <w:insideH w:val="single" w:sz="8" w:color="D8E1EC"/>
              <w:insideV w:val="single" w:sz="8" w:color="D8E1EC"/>
            </w:tcBorders>
            <w:tcMar>
              <w:top w:w="120" w:type="dxa"/>
              <w:start w:w="180" w:type="dxa"/>
              <w:bottom w:w="120" w:type="dxa"/>
              <w:end w:w="180" w:type="dxa"/>
            </w:tcMar>
          </w:tcPr>
          <w:p>
            <w:pPr>
              <w:jc w:val="center"/>
            </w:pPr>
            <w:r>
              <w:rPr>
                <w:rFonts w:ascii="Inter" w:hAnsi="Inter"/>
                <w:b w:val="0"/>
                <w:i w:val="0"/>
                <w:color w:val="5F6B7A"/>
                <w:sz w:val="19"/>
              </w:rPr>
              <w:t>θ = parametri; η = learning rate; ∇L = gradiente della loss.</w:t>
            </w:r>
          </w:p>
        </w:tc>
      </w:tr>
    </w:tbl>
    <w:p>
      <w:pPr>
        <w:spacing w:after="40"/>
      </w:pPr>
    </w:p>
    <w:tbl>
      <w:tblPr>
        <w:tblW w:type="auto" w:w="0"/>
        <w:jc w:val="center"/>
        <w:tblLayout w:type="fixed"/>
        <w:tblLook w:firstColumn="1" w:firstRow="1" w:lastColumn="0" w:lastRow="0" w:noHBand="0" w:noVBand="1" w:val="04A0"/>
      </w:tblPr>
      <w:tblGrid>
        <w:gridCol w:w="181"/>
        <w:gridCol w:w="9241"/>
      </w:tblGrid>
      <w:tr>
        <w:tc>
          <w:tcPr>
            <w:tcW w:type="dxa" w:w="5018"/>
            <w:shd w:fill="27AE60"/>
            <w:tcBorders>
              <w:top w:val="single" w:sz="0" w:color="27AE60"/>
              <w:left w:val="single" w:sz="0" w:color="27AE60"/>
              <w:bottom w:val="single" w:sz="0" w:color="27AE60"/>
              <w:right w:val="single" w:sz="0" w:color="27AE60"/>
              <w:insideH w:val="single" w:sz="0" w:color="27AE60"/>
              <w:insideV w:val="single" w:sz="0" w:color="27AE60"/>
            </w:tcBorders>
            <w:tcMar>
              <w:top w:w="80" w:type="dxa"/>
              <w:start w:w="0" w:type="dxa"/>
              <w:bottom w:w="80" w:type="dxa"/>
              <w:end w:w="0" w:type="dxa"/>
            </w:tcMar>
          </w:tcPr>
          <w:p/>
        </w:tc>
        <w:tc>
          <w:tcPr>
            <w:tcW w:type="dxa" w:w="5018"/>
            <w:shd w:fill="E8F7EE"/>
            <w:tcBorders>
              <w:top w:val="single" w:sz="0" w:color="E8F7EE"/>
              <w:left w:val="single" w:sz="0" w:color="E8F7EE"/>
              <w:bottom w:val="single" w:sz="0" w:color="E8F7EE"/>
              <w:right w:val="single" w:sz="0" w:color="E8F7EE"/>
              <w:insideH w:val="single" w:sz="0" w:color="E8F7EE"/>
              <w:insideV w:val="single" w:sz="0" w:color="E8F7EE"/>
            </w:tcBorders>
            <w:tcMar>
              <w:top w:w="160" w:type="dxa"/>
              <w:start w:w="210" w:type="dxa"/>
              <w:bottom w:w="160" w:type="dxa"/>
              <w:end w:w="210" w:type="dxa"/>
            </w:tcMar>
          </w:tcPr>
          <w:p>
            <w:pPr>
              <w:spacing w:after="60"/>
            </w:pPr>
            <w:r>
              <w:rPr>
                <w:rFonts w:ascii="Inter" w:hAnsi="Inter"/>
                <w:b/>
                <w:i w:val="0"/>
                <w:color w:val="27AE60"/>
                <w:sz w:val="21"/>
              </w:rPr>
              <w:t>SEMPLIFICAZIONE CORRETTA</w:t>
            </w:r>
          </w:p>
          <w:p>
            <w:pPr>
              <w:spacing w:line="259" w:lineRule="auto"/>
            </w:pPr>
            <w:r>
              <w:rPr>
                <w:rFonts w:ascii="Inter" w:hAnsi="Inter"/>
                <w:b w:val="0"/>
                <w:i w:val="0"/>
                <w:color w:val="1C2633"/>
                <w:sz w:val="19"/>
              </w:rPr>
              <w:t>“Il gradiente indica localmente come cambia l’errore se modifichiamo i parametri. L’ottimizzatore usa questa informazione per fare piccoli passi.” È più corretto di “la rete capisce dove ha sbagliato”.</w:t>
            </w:r>
          </w:p>
        </w:tc>
      </w:tr>
    </w:tbl>
    <w:p>
      <w:pPr>
        <w:spacing w:after="20"/>
      </w:pPr>
    </w:p>
    <w:p>
      <w:pPr>
        <w:spacing w:before="200" w:after="100"/>
      </w:pPr>
      <w:r>
        <w:rPr>
          <w:rFonts w:ascii="Inter" w:hAnsi="Inter"/>
          <w:b/>
          <w:i w:val="0"/>
          <w:color w:val="132238"/>
          <w:sz w:val="28"/>
        </w:rPr>
        <w:t>Tre fenomeni da introdurre</w:t>
      </w:r>
    </w:p>
    <w:tbl>
      <w:tblPr>
        <w:tblW w:type="auto" w:w="0"/>
        <w:jc w:val="center"/>
        <w:tblLayout w:type="fixed"/>
        <w:tblLook w:firstColumn="1" w:firstRow="1" w:lastColumn="0" w:lastRow="0" w:noHBand="0" w:noVBand="1" w:val="04A0"/>
      </w:tblPr>
      <w:tblGrid>
        <w:gridCol w:w="5018"/>
        <w:gridCol w:w="5018"/>
      </w:tblGrid>
      <w:tr>
        <w:tc>
          <w:tcPr>
            <w:tcW w:type="dxa" w:w="2268"/>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Fenomeno</w:t>
            </w:r>
          </w:p>
        </w:tc>
        <w:tc>
          <w:tcPr>
            <w:tcW w:type="dxa" w:w="6803"/>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Spiegazione accessibile</w:t>
            </w:r>
          </w:p>
        </w:tc>
      </w:tr>
      <w:tr>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Underfitting</w:t>
            </w:r>
          </w:p>
        </w:tc>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il modello non riesce neppure ad adattarsi bene ai dati di addestramento</w:t>
            </w:r>
          </w:p>
        </w:tc>
      </w:tr>
      <w:tr>
        <w:tc>
          <w:tcPr>
            <w:tcW w:type="dxa" w:w="5018"/>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Overfitting</w:t>
            </w:r>
          </w:p>
        </w:tc>
        <w:tc>
          <w:tcPr>
            <w:tcW w:type="dxa" w:w="5018"/>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si adatta troppo ai dettagli dei dati di addestramento e generalizza peggio</w:t>
            </w:r>
          </w:p>
        </w:tc>
      </w:tr>
      <w:tr>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Generalizzazione</w:t>
            </w:r>
          </w:p>
        </w:tc>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riesce a produrre buoni risultati su esempi nuovi, non visti durante l’addestramento</w:t>
            </w:r>
          </w:p>
        </w:tc>
      </w:tr>
    </w:tbl>
    <w:p>
      <w:pPr>
        <w:spacing w:after="40"/>
      </w:pPr>
    </w:p>
    <w:p>
      <w:pPr>
        <w:pageBreakBefore w:val="0"/>
        <w:spacing w:before="80" w:after="140"/>
      </w:pPr>
      <w:r>
        <w:rPr>
          <w:rFonts w:ascii="Inter" w:hAnsi="Inter"/>
          <w:b/>
          <w:i w:val="0"/>
          <w:color w:val="2F80ED"/>
          <w:sz w:val="22"/>
        </w:rPr>
        <w:t xml:space="preserve">6  </w:t>
      </w:r>
      <w:r>
        <w:rPr>
          <w:rFonts w:ascii="Inter" w:hAnsi="Inter"/>
          <w:b/>
          <w:i w:val="0"/>
          <w:color w:val="132238"/>
          <w:sz w:val="40"/>
        </w:rPr>
        <w:t>Dalla rete feed-forward ai Transformer</w:t>
      </w:r>
    </w:p>
    <w:p>
      <w:pPr>
        <w:spacing w:after="240"/>
      </w:pPr>
      <w:r>
        <w:rPr>
          <w:rFonts w:ascii="Inter" w:hAnsi="Inter"/>
          <w:b w:val="0"/>
          <w:i w:val="0"/>
          <w:color w:val="5F6B7A"/>
          <w:sz w:val="21"/>
        </w:rPr>
        <w:t>Analogia sì, equivalenza no.</w:t>
      </w:r>
    </w:p>
    <w:tbl>
      <w:tblPr>
        <w:tblW w:type="auto" w:w="0"/>
        <w:tblLayout w:type="fixed"/>
        <w:tblLook w:firstColumn="1" w:firstRow="1" w:lastColumn="0" w:lastRow="0" w:noHBand="0" w:noVBand="1" w:val="04A0"/>
      </w:tblPr>
      <w:tblGrid>
        <w:gridCol w:w="2268"/>
        <w:gridCol w:w="7370"/>
      </w:tblGrid>
      <w:tr>
        <w:tc>
          <w:tcPr>
            <w:tcW w:type="dxa" w:w="5018"/>
            <w:shd w:fill="2F80ED"/>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5018"/>
            <w:shd w:fill="E8EEF5"/>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r>
    </w:tbl>
    <w:p>
      <w:pPr>
        <w:spacing w:after="20"/>
      </w:pPr>
    </w:p>
    <w:p>
      <w:pPr>
        <w:spacing w:after="60"/>
        <w:jc w:val="center"/>
      </w:pPr>
      <w:r>
        <w:drawing>
          <wp:inline xmlns:a="http://schemas.openxmlformats.org/drawingml/2006/main" xmlns:pic="http://schemas.openxmlformats.org/drawingml/2006/picture">
            <wp:extent cx="6012000" cy="2338000"/>
            <wp:docPr id="4" name="Picture 4"/>
            <wp:cNvGraphicFramePr>
              <a:graphicFrameLocks noChangeAspect="1"/>
            </wp:cNvGraphicFramePr>
            <a:graphic>
              <a:graphicData uri="http://schemas.openxmlformats.org/drawingml/2006/picture">
                <pic:pic>
                  <pic:nvPicPr>
                    <pic:cNvPr id="0" name="genai.png"/>
                    <pic:cNvPicPr/>
                  </pic:nvPicPr>
                  <pic:blipFill>
                    <a:blip r:embed="rId14"/>
                    <a:stretch>
                      <a:fillRect/>
                    </a:stretch>
                  </pic:blipFill>
                  <pic:spPr>
                    <a:xfrm>
                      <a:off x="0" y="0"/>
                      <a:ext cx="6012000" cy="2338000"/>
                    </a:xfrm>
                    <a:prstGeom prst="rect"/>
                  </pic:spPr>
                </pic:pic>
              </a:graphicData>
            </a:graphic>
          </wp:inline>
        </w:drawing>
      </w:r>
    </w:p>
    <w:p>
      <w:pPr>
        <w:spacing w:after="120" w:line="269" w:lineRule="auto"/>
      </w:pPr>
      <w:r>
        <w:rPr>
          <w:rFonts w:ascii="Inter" w:hAnsi="Inter"/>
          <w:b w:val="0"/>
          <w:i w:val="0"/>
          <w:color w:val="1C2633"/>
          <w:sz w:val="20"/>
        </w:rPr>
        <w:t>Un Transformer contiene componenti feed-forward ma introduce soprattutto self-attention, residual connections, normalizzazioni e una struttura pensata per elaborare sequenze. La web app rende visibili pesi, bias e attivazioni di una rete piccola; questa trasparenza non va confusa con l’architettura completa di un LLM.</w:t>
      </w:r>
    </w:p>
    <w:tbl>
      <w:tblPr>
        <w:tblW w:type="auto" w:w="0"/>
        <w:jc w:val="center"/>
        <w:tblLayout w:type="fixed"/>
        <w:tblLook w:firstColumn="1" w:firstRow="1" w:lastColumn="0" w:lastRow="0" w:noHBand="0" w:noVBand="1" w:val="04A0"/>
      </w:tblPr>
      <w:tblGrid>
        <w:gridCol w:w="3345"/>
        <w:gridCol w:w="3345"/>
        <w:gridCol w:w="3345"/>
      </w:tblGrid>
      <w:tr>
        <w:tc>
          <w:tcPr>
            <w:tcW w:type="dxa" w:w="2268"/>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Concetto nell’app</w:t>
            </w:r>
          </w:p>
        </w:tc>
        <w:tc>
          <w:tcPr>
            <w:tcW w:type="dxa" w:w="3118"/>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Analogo utile in un LLM</w:t>
            </w:r>
          </w:p>
        </w:tc>
        <w:tc>
          <w:tcPr>
            <w:tcW w:type="dxa" w:w="3685"/>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Differenza da dichiarare</w:t>
            </w:r>
          </w:p>
        </w:tc>
      </w:tr>
      <w:tr>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input numerico</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token/embedding e rappresentazioni contestuali</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il testo viene codificato in vettori ad alta dimensionalità</w:t>
            </w:r>
          </w:p>
        </w:tc>
      </w:tr>
      <w:tr>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peso di connessione</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parametri delle matrici del modello</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nei LLM i parametri sono numerosissimi e distribuiti</w:t>
            </w:r>
          </w:p>
        </w:tc>
      </w:tr>
      <w:tr>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attivazione del neurone</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attivazioni interne dei blocchi</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non c’è un unico “neurone della parola”</w:t>
            </w:r>
          </w:p>
        </w:tc>
      </w:tr>
      <w:tr>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output</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logit/probabilità del token successivo</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l’output viene prodotto su un vocabolario molto grande</w:t>
            </w:r>
          </w:p>
        </w:tc>
      </w:tr>
    </w:tbl>
    <w:p>
      <w:pPr>
        <w:spacing w:after="40"/>
      </w:pPr>
    </w:p>
    <w:tbl>
      <w:tblPr>
        <w:tblW w:type="auto" w:w="0"/>
        <w:jc w:val="center"/>
        <w:tblLayout w:type="fixed"/>
        <w:tblLook w:firstColumn="1" w:firstRow="1" w:lastColumn="0" w:lastRow="0" w:noHBand="0" w:noVBand="1" w:val="04A0"/>
      </w:tblPr>
      <w:tblGrid>
        <w:gridCol w:w="181"/>
        <w:gridCol w:w="9241"/>
      </w:tblGrid>
      <w:tr>
        <w:tc>
          <w:tcPr>
            <w:tcW w:type="dxa" w:w="5018"/>
            <w:shd w:fill="7657D5"/>
            <w:tcBorders>
              <w:top w:val="single" w:sz="0" w:color="7657D5"/>
              <w:left w:val="single" w:sz="0" w:color="7657D5"/>
              <w:bottom w:val="single" w:sz="0" w:color="7657D5"/>
              <w:right w:val="single" w:sz="0" w:color="7657D5"/>
              <w:insideH w:val="single" w:sz="0" w:color="7657D5"/>
              <w:insideV w:val="single" w:sz="0" w:color="7657D5"/>
            </w:tcBorders>
            <w:tcMar>
              <w:top w:w="80" w:type="dxa"/>
              <w:start w:w="0" w:type="dxa"/>
              <w:bottom w:w="80" w:type="dxa"/>
              <w:end w:w="0" w:type="dxa"/>
            </w:tcMar>
          </w:tcPr>
          <w:p/>
        </w:tc>
        <w:tc>
          <w:tcPr>
            <w:tcW w:type="dxa" w:w="5018"/>
            <w:shd w:fill="EEE9FF"/>
            <w:tcBorders>
              <w:top w:val="single" w:sz="0" w:color="EEE9FF"/>
              <w:left w:val="single" w:sz="0" w:color="EEE9FF"/>
              <w:bottom w:val="single" w:sz="0" w:color="EEE9FF"/>
              <w:right w:val="single" w:sz="0" w:color="EEE9FF"/>
              <w:insideH w:val="single" w:sz="0" w:color="EEE9FF"/>
              <w:insideV w:val="single" w:sz="0" w:color="EEE9FF"/>
            </w:tcBorders>
            <w:tcMar>
              <w:top w:w="160" w:type="dxa"/>
              <w:start w:w="210" w:type="dxa"/>
              <w:bottom w:w="160" w:type="dxa"/>
              <w:end w:w="210" w:type="dxa"/>
            </w:tcMar>
          </w:tcPr>
          <w:p>
            <w:pPr>
              <w:spacing w:after="60"/>
            </w:pPr>
            <w:r>
              <w:rPr>
                <w:rFonts w:ascii="Inter" w:hAnsi="Inter"/>
                <w:b/>
                <w:i w:val="0"/>
                <w:color w:val="7657D5"/>
                <w:sz w:val="21"/>
              </w:rPr>
              <w:t>ATTENTION</w:t>
            </w:r>
          </w:p>
          <w:p>
            <w:pPr>
              <w:spacing w:line="259" w:lineRule="auto"/>
            </w:pPr>
            <w:r>
              <w:rPr>
                <w:rFonts w:ascii="Inter" w:hAnsi="Inter"/>
                <w:b w:val="0"/>
                <w:i w:val="0"/>
                <w:color w:val="1C2633"/>
                <w:sz w:val="19"/>
              </w:rPr>
              <w:t>I coefficienti di attention sono calcolati per ogni input e determinano come le posizioni della sequenza si combinano nel costruire nuove rappresentazioni. Sono dinamici; i parametri che li producono sono invece appresi durante l’addestramento.</w:t>
            </w:r>
          </w:p>
        </w:tc>
      </w:tr>
    </w:tbl>
    <w:p>
      <w:pPr>
        <w:spacing w:after="20"/>
      </w:pPr>
    </w:p>
    <w:p>
      <w:pPr>
        <w:pageBreakBefore/>
        <w:spacing w:before="80" w:after="140"/>
      </w:pPr>
      <w:r>
        <w:rPr>
          <w:rFonts w:ascii="Inter" w:hAnsi="Inter"/>
          <w:b/>
          <w:i w:val="0"/>
          <w:color w:val="2F80ED"/>
          <w:sz w:val="22"/>
        </w:rPr>
        <w:t xml:space="preserve">7  </w:t>
      </w:r>
      <w:r>
        <w:rPr>
          <w:rFonts w:ascii="Inter" w:hAnsi="Inter"/>
          <w:b/>
          <w:i w:val="0"/>
          <w:color w:val="132238"/>
          <w:sz w:val="40"/>
        </w:rPr>
        <w:t>Simulare la generazione senza introdurre falsi modelli mentali</w:t>
      </w:r>
    </w:p>
    <w:p>
      <w:pPr>
        <w:spacing w:after="240"/>
      </w:pPr>
      <w:r>
        <w:rPr>
          <w:rFonts w:ascii="Inter" w:hAnsi="Inter"/>
          <w:b w:val="0"/>
          <w:i w:val="0"/>
          <w:color w:val="5F6B7A"/>
          <w:sz w:val="21"/>
        </w:rPr>
        <w:t>Come usare bene l’esempio “Il gatto beve …”.</w:t>
      </w:r>
    </w:p>
    <w:tbl>
      <w:tblPr>
        <w:tblW w:type="auto" w:w="0"/>
        <w:tblLayout w:type="fixed"/>
        <w:tblLook w:firstColumn="1" w:firstRow="1" w:lastColumn="0" w:lastRow="0" w:noHBand="0" w:noVBand="1" w:val="04A0"/>
      </w:tblPr>
      <w:tblGrid>
        <w:gridCol w:w="2268"/>
        <w:gridCol w:w="7370"/>
      </w:tblGrid>
      <w:tr>
        <w:tc>
          <w:tcPr>
            <w:tcW w:type="dxa" w:w="5018"/>
            <w:shd w:fill="2F80ED"/>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5018"/>
            <w:shd w:fill="E8EEF5"/>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r>
    </w:tbl>
    <w:p>
      <w:pPr>
        <w:spacing w:after="20"/>
      </w:pPr>
    </w:p>
    <w:p>
      <w:pPr>
        <w:spacing w:after="120" w:line="269" w:lineRule="auto"/>
      </w:pPr>
      <w:r>
        <w:rPr>
          <w:rFonts w:ascii="Inter" w:hAnsi="Inter"/>
          <w:b w:val="0"/>
          <w:i w:val="0"/>
          <w:color w:val="1C2633"/>
          <w:sz w:val="20"/>
        </w:rPr>
        <w:t>La simulazione deve mostrare una catena concettuale: contesto → attivazioni → logit → softmax → distribuzione → campionamento. I numeri sono didattici. Il caso “acqua” è utile perché permette anche di discutere la differenza fra plausibilità linguistica, stereotipi dei dati e conoscenza del mondo.</w:t>
      </w:r>
    </w:p>
    <w:tbl>
      <w:tblPr>
        <w:tblW w:type="auto" w:w="0"/>
        <w:jc w:val="center"/>
        <w:tblLayout w:type="fixed"/>
        <w:tblLook w:firstColumn="1" w:firstRow="1" w:lastColumn="0" w:lastRow="0" w:noHBand="0" w:noVBand="1" w:val="04A0"/>
      </w:tblPr>
      <w:tblGrid>
        <w:gridCol w:w="181"/>
        <w:gridCol w:w="9241"/>
      </w:tblGrid>
      <w:tr>
        <w:tc>
          <w:tcPr>
            <w:tcW w:type="dxa" w:w="5018"/>
            <w:shd w:fill="27AE60"/>
            <w:tcBorders>
              <w:top w:val="single" w:sz="0" w:color="27AE60"/>
              <w:left w:val="single" w:sz="0" w:color="27AE60"/>
              <w:bottom w:val="single" w:sz="0" w:color="27AE60"/>
              <w:right w:val="single" w:sz="0" w:color="27AE60"/>
              <w:insideH w:val="single" w:sz="0" w:color="27AE60"/>
              <w:insideV w:val="single" w:sz="0" w:color="27AE60"/>
            </w:tcBorders>
            <w:tcMar>
              <w:top w:w="80" w:type="dxa"/>
              <w:start w:w="0" w:type="dxa"/>
              <w:bottom w:w="80" w:type="dxa"/>
              <w:end w:w="0" w:type="dxa"/>
            </w:tcMar>
          </w:tcPr>
          <w:p/>
        </w:tc>
        <w:tc>
          <w:tcPr>
            <w:tcW w:type="dxa" w:w="5018"/>
            <w:shd w:fill="E8F7EE"/>
            <w:tcBorders>
              <w:top w:val="single" w:sz="0" w:color="E8F7EE"/>
              <w:left w:val="single" w:sz="0" w:color="E8F7EE"/>
              <w:bottom w:val="single" w:sz="0" w:color="E8F7EE"/>
              <w:right w:val="single" w:sz="0" w:color="E8F7EE"/>
              <w:insideH w:val="single" w:sz="0" w:color="E8F7EE"/>
              <w:insideV w:val="single" w:sz="0" w:color="E8F7EE"/>
            </w:tcBorders>
            <w:tcMar>
              <w:top w:w="160" w:type="dxa"/>
              <w:start w:w="210" w:type="dxa"/>
              <w:bottom w:w="160" w:type="dxa"/>
              <w:end w:w="210" w:type="dxa"/>
            </w:tcMar>
          </w:tcPr>
          <w:p>
            <w:pPr>
              <w:spacing w:after="60"/>
            </w:pPr>
            <w:r>
              <w:rPr>
                <w:rFonts w:ascii="Inter" w:hAnsi="Inter"/>
                <w:b/>
                <w:i w:val="0"/>
                <w:color w:val="27AE60"/>
                <w:sz w:val="21"/>
              </w:rPr>
              <w:t>ESEMPIO CORRETTO</w:t>
            </w:r>
          </w:p>
          <w:p>
            <w:pPr>
              <w:spacing w:line="259" w:lineRule="auto"/>
            </w:pPr>
            <w:r>
              <w:rPr>
                <w:rFonts w:ascii="Inter" w:hAnsi="Inter"/>
                <w:b w:val="0"/>
                <w:i w:val="0"/>
                <w:color w:val="1C2633"/>
                <w:sz w:val="19"/>
              </w:rPr>
              <w:t>Per “Il gatto beve …”, acqua deve essere il candidato principale nella simulazione. Latte può rimanere come alternativa meno probabile per mostrare che i modelli apprendono anche associazioni culturali presenti nei dati.</w:t>
            </w:r>
          </w:p>
        </w:tc>
      </w:tr>
    </w:tbl>
    <w:p>
      <w:pPr>
        <w:spacing w:after="20"/>
      </w:pPr>
    </w:p>
    <w:p>
      <w:pPr>
        <w:spacing w:before="200" w:after="100"/>
      </w:pPr>
      <w:r>
        <w:rPr>
          <w:rFonts w:ascii="Inter" w:hAnsi="Inter"/>
          <w:b/>
          <w:i w:val="0"/>
          <w:color w:val="132238"/>
          <w:sz w:val="28"/>
        </w:rPr>
        <w:t>Logit, softmax e temperatura</w:t>
      </w:r>
    </w:p>
    <w:p>
      <w:pPr>
        <w:spacing w:after="120" w:line="269" w:lineRule="auto"/>
      </w:pPr>
      <w:r>
        <w:rPr>
          <w:rFonts w:ascii="Inter" w:hAnsi="Inter"/>
          <w:b w:val="0"/>
          <w:i w:val="0"/>
          <w:color w:val="1C2633"/>
          <w:sz w:val="20"/>
        </w:rPr>
        <w:t>I logit sono punteggi grezzi. La softmax li trasforma in una distribuzione positiva che somma a 1. La temperatura modifica la “concentrazione” della distribuzione prima del campionamento: valori più bassi favoriscono scelte più deterministiche, valori più alti aumentano la varietà.</w:t>
      </w:r>
    </w:p>
    <w:tbl>
      <w:tblPr>
        <w:tblW w:type="auto" w:w="0"/>
        <w:jc w:val="center"/>
        <w:tblLook w:firstColumn="1" w:firstRow="1" w:lastColumn="0" w:lastRow="0" w:noHBand="0" w:noVBand="1" w:val="04A0"/>
      </w:tblPr>
      <w:tblGrid>
        <w:gridCol w:w="10036"/>
      </w:tblGrid>
      <w:tr>
        <w:tc>
          <w:tcPr>
            <w:tcW w:type="dxa" w:w="10036"/>
            <w:shd w:fill="132238"/>
            <w:tcBorders>
              <w:top w:val="single" w:sz="0" w:color="132238"/>
              <w:left w:val="single" w:sz="0" w:color="132238"/>
              <w:bottom w:val="single" w:sz="0" w:color="132238"/>
              <w:right w:val="single" w:sz="0" w:color="132238"/>
              <w:insideH w:val="single" w:sz="0" w:color="132238"/>
              <w:insideV w:val="single" w:sz="0" w:color="132238"/>
            </w:tcBorders>
            <w:tcMar>
              <w:top w:w="150" w:type="dxa"/>
              <w:start w:w="180" w:type="dxa"/>
              <w:bottom w:w="150" w:type="dxa"/>
              <w:end w:w="180" w:type="dxa"/>
            </w:tcMar>
          </w:tcPr>
          <w:p>
            <w:pPr>
              <w:jc w:val="center"/>
            </w:pPr>
            <w:r>
              <w:rPr>
                <w:rFonts w:ascii="Inter" w:hAnsi="Inter"/>
                <w:b/>
                <w:i w:val="0"/>
                <w:color w:val="FFFFFF"/>
                <w:sz w:val="30"/>
              </w:rPr>
              <w:t>pᵢ = exp(zᵢ/T) / Σⱼ exp(zⱼ/T)</w:t>
            </w:r>
          </w:p>
        </w:tc>
      </w:tr>
      <w:tr>
        <w:tc>
          <w:tcPr>
            <w:tcW w:type="dxa" w:w="10036"/>
            <w:shd w:fill="F5F7FA"/>
            <w:tcBorders>
              <w:top w:val="single" w:sz="8" w:color="D8E1EC"/>
              <w:left w:val="single" w:sz="8" w:color="D8E1EC"/>
              <w:bottom w:val="single" w:sz="8" w:color="D8E1EC"/>
              <w:right w:val="single" w:sz="8" w:color="D8E1EC"/>
              <w:insideH w:val="single" w:sz="8" w:color="D8E1EC"/>
              <w:insideV w:val="single" w:sz="8" w:color="D8E1EC"/>
            </w:tcBorders>
            <w:tcMar>
              <w:top w:w="120" w:type="dxa"/>
              <w:start w:w="180" w:type="dxa"/>
              <w:bottom w:w="120" w:type="dxa"/>
              <w:end w:w="180" w:type="dxa"/>
            </w:tcMar>
          </w:tcPr>
          <w:p>
            <w:pPr>
              <w:jc w:val="center"/>
            </w:pPr>
            <w:r>
              <w:rPr>
                <w:rFonts w:ascii="Inter" w:hAnsi="Inter"/>
                <w:b w:val="0"/>
                <w:i w:val="0"/>
                <w:color w:val="5F6B7A"/>
                <w:sz w:val="19"/>
              </w:rPr>
              <w:t>Formula concettuale della softmax con temperatura T.</w:t>
            </w:r>
          </w:p>
        </w:tc>
      </w:tr>
    </w:tbl>
    <w:p>
      <w:pPr>
        <w:spacing w:after="40"/>
      </w:pPr>
    </w:p>
    <w:tbl>
      <w:tblPr>
        <w:tblW w:type="auto" w:w="0"/>
        <w:jc w:val="center"/>
        <w:tblLayout w:type="fixed"/>
        <w:tblLook w:firstColumn="1" w:firstRow="1" w:lastColumn="0" w:lastRow="0" w:noHBand="0" w:noVBand="1" w:val="04A0"/>
      </w:tblPr>
      <w:tblGrid>
        <w:gridCol w:w="181"/>
        <w:gridCol w:w="9241"/>
      </w:tblGrid>
      <w:tr>
        <w:tc>
          <w:tcPr>
            <w:tcW w:type="dxa" w:w="5018"/>
            <w:shd w:fill="D64545"/>
            <w:tcBorders>
              <w:top w:val="single" w:sz="0" w:color="D64545"/>
              <w:left w:val="single" w:sz="0" w:color="D64545"/>
              <w:bottom w:val="single" w:sz="0" w:color="D64545"/>
              <w:right w:val="single" w:sz="0" w:color="D64545"/>
              <w:insideH w:val="single" w:sz="0" w:color="D64545"/>
              <w:insideV w:val="single" w:sz="0" w:color="D64545"/>
            </w:tcBorders>
            <w:tcMar>
              <w:top w:w="80" w:type="dxa"/>
              <w:start w:w="0" w:type="dxa"/>
              <w:bottom w:w="80" w:type="dxa"/>
              <w:end w:w="0" w:type="dxa"/>
            </w:tcMar>
          </w:tcPr>
          <w:p/>
        </w:tc>
        <w:tc>
          <w:tcPr>
            <w:tcW w:type="dxa" w:w="5018"/>
            <w:shd w:fill="FDEAEA"/>
            <w:tcBorders>
              <w:top w:val="single" w:sz="0" w:color="FDEAEA"/>
              <w:left w:val="single" w:sz="0" w:color="FDEAEA"/>
              <w:bottom w:val="single" w:sz="0" w:color="FDEAEA"/>
              <w:right w:val="single" w:sz="0" w:color="FDEAEA"/>
              <w:insideH w:val="single" w:sz="0" w:color="FDEAEA"/>
              <w:insideV w:val="single" w:sz="0" w:color="FDEAEA"/>
            </w:tcBorders>
            <w:tcMar>
              <w:top w:w="160" w:type="dxa"/>
              <w:start w:w="210" w:type="dxa"/>
              <w:bottom w:w="160" w:type="dxa"/>
              <w:end w:w="210" w:type="dxa"/>
            </w:tcMar>
          </w:tcPr>
          <w:p>
            <w:pPr>
              <w:spacing w:after="60"/>
            </w:pPr>
            <w:r>
              <w:rPr>
                <w:rFonts w:ascii="Inter" w:hAnsi="Inter"/>
                <w:b/>
                <w:i w:val="0"/>
                <w:color w:val="D64545"/>
                <w:sz w:val="21"/>
              </w:rPr>
              <w:t>CAUTELA</w:t>
            </w:r>
          </w:p>
          <w:p>
            <w:pPr>
              <w:spacing w:line="259" w:lineRule="auto"/>
            </w:pPr>
            <w:r>
              <w:rPr>
                <w:rFonts w:ascii="Inter" w:hAnsi="Inter"/>
                <w:b w:val="0"/>
                <w:i w:val="0"/>
                <w:color w:val="1C2633"/>
                <w:sz w:val="19"/>
              </w:rPr>
              <w:t>Probabilità del token successivo non equivale a probabilità che un fatto sia vero. Questa distinzione è centrale per spiegare allucinazioni e necessità di verifica.</w:t>
            </w:r>
          </w:p>
        </w:tc>
      </w:tr>
    </w:tbl>
    <w:p>
      <w:pPr>
        <w:spacing w:after="20"/>
      </w:pPr>
    </w:p>
    <w:p>
      <w:pPr>
        <w:pageBreakBefore/>
        <w:spacing w:before="80" w:after="140"/>
      </w:pPr>
      <w:r>
        <w:rPr>
          <w:rFonts w:ascii="Inter" w:hAnsi="Inter"/>
          <w:b/>
          <w:i w:val="0"/>
          <w:color w:val="2F80ED"/>
          <w:sz w:val="22"/>
        </w:rPr>
        <w:t xml:space="preserve">8  </w:t>
      </w:r>
      <w:r>
        <w:rPr>
          <w:rFonts w:ascii="Inter" w:hAnsi="Inter"/>
          <w:b/>
          <w:i w:val="0"/>
          <w:color w:val="132238"/>
          <w:sz w:val="40"/>
        </w:rPr>
        <w:t>Percorso didattico da 60 minuti</w:t>
      </w:r>
    </w:p>
    <w:p>
      <w:pPr>
        <w:spacing w:after="240"/>
      </w:pPr>
      <w:r>
        <w:rPr>
          <w:rFonts w:ascii="Inter" w:hAnsi="Inter"/>
          <w:b w:val="0"/>
          <w:i w:val="0"/>
          <w:color w:val="5F6B7A"/>
          <w:sz w:val="21"/>
        </w:rPr>
        <w:t>Una sequenza pronta per un breve modulo di formazione.</w:t>
      </w:r>
    </w:p>
    <w:tbl>
      <w:tblPr>
        <w:tblW w:type="auto" w:w="0"/>
        <w:tblLayout w:type="fixed"/>
        <w:tblLook w:firstColumn="1" w:firstRow="1" w:lastColumn="0" w:lastRow="0" w:noHBand="0" w:noVBand="1" w:val="04A0"/>
      </w:tblPr>
      <w:tblGrid>
        <w:gridCol w:w="2268"/>
        <w:gridCol w:w="7370"/>
      </w:tblGrid>
      <w:tr>
        <w:tc>
          <w:tcPr>
            <w:tcW w:type="dxa" w:w="5018"/>
            <w:shd w:fill="2F80ED"/>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5018"/>
            <w:shd w:fill="E8EEF5"/>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r>
    </w:tbl>
    <w:p>
      <w:pPr>
        <w:spacing w:after="20"/>
      </w:pPr>
    </w:p>
    <w:tbl>
      <w:tblPr>
        <w:tblW w:type="auto" w:w="0"/>
        <w:jc w:val="center"/>
        <w:tblLayout w:type="fixed"/>
        <w:tblLook w:firstColumn="1" w:firstRow="1" w:lastColumn="0" w:lastRow="0" w:noHBand="0" w:noVBand="1" w:val="04A0"/>
      </w:tblPr>
      <w:tblGrid>
        <w:gridCol w:w="3345"/>
        <w:gridCol w:w="3345"/>
        <w:gridCol w:w="3345"/>
      </w:tblGrid>
      <w:tr>
        <w:tc>
          <w:tcPr>
            <w:tcW w:type="dxa" w:w="1417"/>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Tempo</w:t>
            </w:r>
          </w:p>
        </w:tc>
        <w:tc>
          <w:tcPr>
            <w:tcW w:type="dxa" w:w="4649"/>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Attività</w:t>
            </w:r>
          </w:p>
        </w:tc>
        <w:tc>
          <w:tcPr>
            <w:tcW w:type="dxa" w:w="3685"/>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Obiettivo</w:t>
            </w:r>
          </w:p>
        </w:tc>
      </w:tr>
      <w:tr>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0-10 min</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Domanda iniziale: “Che cosa immaginate quando sentite neurone artificiale?”</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far emergere preconoscenze e antropomorfismi</w:t>
            </w:r>
          </w:p>
        </w:tc>
      </w:tr>
      <w:tr>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10-20 min</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Neurone: input, peso, bias, attivazione con esempio numerico</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costruire il nucleo matematico</w:t>
            </w:r>
          </w:p>
        </w:tc>
      </w:tr>
      <w:tr>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20-32 min</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Preset AND, poi modifica del bias</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comprendere soglia e frontiera</w:t>
            </w:r>
          </w:p>
        </w:tc>
      </w:tr>
      <w:tr>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32-45 min</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XOR e hidden layer con OR + NAND</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comprendere rappresentazioni intermedie</w:t>
            </w:r>
          </w:p>
        </w:tc>
      </w:tr>
      <w:tr>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45-55 min</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Simulazione generativa: token, logit, softmax, temperatura</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collegare alla GenAI</w:t>
            </w:r>
          </w:p>
        </w:tc>
      </w:tr>
      <w:tr>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55-60 min</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Exit ticket a tre domande</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verificare il modello mentale</w:t>
            </w:r>
          </w:p>
        </w:tc>
      </w:tr>
    </w:tbl>
    <w:p>
      <w:pPr>
        <w:spacing w:after="40"/>
      </w:pPr>
    </w:p>
    <w:tbl>
      <w:tblPr>
        <w:tblW w:type="auto" w:w="0"/>
        <w:jc w:val="center"/>
        <w:tblLayout w:type="fixed"/>
        <w:tblLook w:firstColumn="1" w:firstRow="1" w:lastColumn="0" w:lastRow="0" w:noHBand="0" w:noVBand="1" w:val="04A0"/>
      </w:tblPr>
      <w:tblGrid>
        <w:gridCol w:w="181"/>
        <w:gridCol w:w="9241"/>
      </w:tblGrid>
      <w:tr>
        <w:tc>
          <w:tcPr>
            <w:tcW w:type="dxa" w:w="5018"/>
            <w:shd w:fill="149C95"/>
            <w:tcBorders>
              <w:top w:val="single" w:sz="0" w:color="149C95"/>
              <w:left w:val="single" w:sz="0" w:color="149C95"/>
              <w:bottom w:val="single" w:sz="0" w:color="149C95"/>
              <w:right w:val="single" w:sz="0" w:color="149C95"/>
              <w:insideH w:val="single" w:sz="0" w:color="149C95"/>
              <w:insideV w:val="single" w:sz="0" w:color="149C95"/>
            </w:tcBorders>
            <w:tcMar>
              <w:top w:w="80" w:type="dxa"/>
              <w:start w:w="0" w:type="dxa"/>
              <w:bottom w:w="80" w:type="dxa"/>
              <w:end w:w="0" w:type="dxa"/>
            </w:tcMar>
          </w:tcPr>
          <w:p/>
        </w:tc>
        <w:tc>
          <w:tcPr>
            <w:tcW w:type="dxa" w:w="5018"/>
            <w:shd w:fill="E8F8F6"/>
            <w:tcBorders>
              <w:top w:val="single" w:sz="0" w:color="E8F8F6"/>
              <w:left w:val="single" w:sz="0" w:color="E8F8F6"/>
              <w:bottom w:val="single" w:sz="0" w:color="E8F8F6"/>
              <w:right w:val="single" w:sz="0" w:color="E8F8F6"/>
              <w:insideH w:val="single" w:sz="0" w:color="E8F8F6"/>
              <w:insideV w:val="single" w:sz="0" w:color="E8F8F6"/>
            </w:tcBorders>
            <w:tcMar>
              <w:top w:w="160" w:type="dxa"/>
              <w:start w:w="210" w:type="dxa"/>
              <w:bottom w:w="160" w:type="dxa"/>
              <w:end w:w="210" w:type="dxa"/>
            </w:tcMar>
          </w:tcPr>
          <w:p>
            <w:pPr>
              <w:spacing w:after="60"/>
            </w:pPr>
            <w:r>
              <w:rPr>
                <w:rFonts w:ascii="Inter" w:hAnsi="Inter"/>
                <w:b/>
                <w:i w:val="0"/>
                <w:color w:val="149C95"/>
                <w:sz w:val="21"/>
              </w:rPr>
              <w:t>EXIT TICKET</w:t>
            </w:r>
          </w:p>
          <w:p>
            <w:pPr>
              <w:spacing w:line="259" w:lineRule="auto"/>
            </w:pPr>
            <w:r>
              <w:rPr>
                <w:rFonts w:ascii="Inter" w:hAnsi="Inter"/>
                <w:b w:val="0"/>
                <w:i w:val="0"/>
                <w:color w:val="1C2633"/>
                <w:sz w:val="19"/>
              </w:rPr>
              <w:t>1) Che cosa cambia durante l’addestramento? 2) Perché XOR è più istruttivo di AND? 3) Perché la parola più probabile non è necessariamente vera?</w:t>
            </w:r>
          </w:p>
        </w:tc>
      </w:tr>
    </w:tbl>
    <w:p>
      <w:pPr>
        <w:spacing w:after="20"/>
      </w:pPr>
    </w:p>
    <w:p>
      <w:pPr>
        <w:pageBreakBefore/>
        <w:spacing w:before="80" w:after="140"/>
      </w:pPr>
      <w:r>
        <w:rPr>
          <w:rFonts w:ascii="Inter" w:hAnsi="Inter"/>
          <w:b/>
          <w:i w:val="0"/>
          <w:color w:val="2F80ED"/>
          <w:sz w:val="22"/>
        </w:rPr>
        <w:t xml:space="preserve">9  </w:t>
      </w:r>
      <w:r>
        <w:rPr>
          <w:rFonts w:ascii="Inter" w:hAnsi="Inter"/>
          <w:b/>
          <w:i w:val="0"/>
          <w:color w:val="132238"/>
          <w:sz w:val="40"/>
        </w:rPr>
        <w:t>Percorso didattico da 90-120 minuti</w:t>
      </w:r>
    </w:p>
    <w:p>
      <w:pPr>
        <w:spacing w:after="240"/>
      </w:pPr>
      <w:r>
        <w:rPr>
          <w:rFonts w:ascii="Inter" w:hAnsi="Inter"/>
          <w:b w:val="0"/>
          <w:i w:val="0"/>
          <w:color w:val="5F6B7A"/>
          <w:sz w:val="21"/>
        </w:rPr>
        <w:t>Per corsi di formazione con sperimentazione attiva.</w:t>
      </w:r>
    </w:p>
    <w:tbl>
      <w:tblPr>
        <w:tblW w:type="auto" w:w="0"/>
        <w:tblLayout w:type="fixed"/>
        <w:tblLook w:firstColumn="1" w:firstRow="1" w:lastColumn="0" w:lastRow="0" w:noHBand="0" w:noVBand="1" w:val="04A0"/>
      </w:tblPr>
      <w:tblGrid>
        <w:gridCol w:w="2268"/>
        <w:gridCol w:w="7370"/>
      </w:tblGrid>
      <w:tr>
        <w:tc>
          <w:tcPr>
            <w:tcW w:type="dxa" w:w="5018"/>
            <w:shd w:fill="2F80ED"/>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5018"/>
            <w:shd w:fill="E8EEF5"/>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r>
    </w:tbl>
    <w:p>
      <w:pPr>
        <w:spacing w:after="20"/>
      </w:pPr>
    </w:p>
    <w:tbl>
      <w:tblPr>
        <w:tblW w:type="auto" w:w="0"/>
        <w:jc w:val="center"/>
        <w:tblLayout w:type="fixed"/>
        <w:tblLook w:firstColumn="1" w:firstRow="1" w:lastColumn="0" w:lastRow="0" w:noHBand="0" w:noVBand="1" w:val="04A0"/>
      </w:tblPr>
      <w:tblGrid>
        <w:gridCol w:w="3345"/>
        <w:gridCol w:w="3345"/>
        <w:gridCol w:w="3345"/>
      </w:tblGrid>
      <w:tr>
        <w:tc>
          <w:tcPr>
            <w:tcW w:type="dxa" w:w="1757"/>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Fase</w:t>
            </w:r>
          </w:p>
        </w:tc>
        <w:tc>
          <w:tcPr>
            <w:tcW w:type="dxa" w:w="3855"/>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Attività del corsista</w:t>
            </w:r>
          </w:p>
        </w:tc>
        <w:tc>
          <w:tcPr>
            <w:tcW w:type="dxa" w:w="4139"/>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Domanda del formatore</w:t>
            </w:r>
          </w:p>
        </w:tc>
      </w:tr>
      <w:tr>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Esplora</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modifica input e un singolo peso</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“Quale quantità è cambiata davvero?”</w:t>
            </w:r>
          </w:p>
        </w:tc>
      </w:tr>
      <w:tr>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Confronta</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stessa rete con attivazioni diverse</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“Perché l’output non cambia in modo lineare?”</w:t>
            </w:r>
          </w:p>
        </w:tc>
      </w:tr>
      <w:tr>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Costruisci</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ricostruisci AND regolando bias/pesi</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“Che soglia serve?”</w:t>
            </w:r>
          </w:p>
        </w:tc>
      </w:tr>
      <w:tr>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Problematizza</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prova XOR con un solo neurone</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“Perché non riesci?”</w:t>
            </w:r>
          </w:p>
        </w:tc>
      </w:tr>
      <w:tr>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Rappresenta</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usa OR/NAND nello hidden layer</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“Che nuovo spazio hai costruito?”</w:t>
            </w:r>
          </w:p>
        </w:tc>
      </w:tr>
      <w:tr>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Collega</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simula token successivo e temperatura</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“Quali numeri cambiano durante la generazione?”</w:t>
            </w:r>
          </w:p>
        </w:tc>
      </w:tr>
      <w:tr>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Rifletti</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discute allucinazione e verifica</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“Plausibile = vero?”</w:t>
            </w:r>
          </w:p>
        </w:tc>
      </w:tr>
    </w:tbl>
    <w:p>
      <w:pPr>
        <w:spacing w:after="40"/>
      </w:pPr>
    </w:p>
    <w:p>
      <w:pPr>
        <w:spacing w:before="200" w:after="100"/>
      </w:pPr>
      <w:r>
        <w:rPr>
          <w:rFonts w:ascii="Inter" w:hAnsi="Inter"/>
          <w:b/>
          <w:i w:val="0"/>
          <w:color w:val="132238"/>
          <w:sz w:val="28"/>
        </w:rPr>
        <w:t>Attività di gruppo: “Spiega senza metafore”)</w:t>
      </w:r>
    </w:p>
    <w:p>
      <w:pPr>
        <w:spacing w:after="120" w:line="269" w:lineRule="auto"/>
      </w:pPr>
      <w:r>
        <w:rPr>
          <w:rFonts w:ascii="Inter" w:hAnsi="Inter"/>
          <w:b w:val="0"/>
          <w:i w:val="0"/>
          <w:color w:val="1C2633"/>
          <w:sz w:val="20"/>
        </w:rPr>
        <w:t>Dividere i corsisti in gruppi. Ogni gruppo riceve un termine (peso, bias, attivazione, loss, attention, temperatura) e deve produrre: una definizione tecnica di una frase, una metafora utile, il limite della metafora. È un ottimo esercizio di AI literacy perché separa precisione concettuale e comunicazione.</w:t>
      </w:r>
    </w:p>
    <w:p>
      <w:pPr>
        <w:pageBreakBefore/>
        <w:spacing w:before="80" w:after="140"/>
      </w:pPr>
      <w:r>
        <w:rPr>
          <w:rFonts w:ascii="Inter" w:hAnsi="Inter"/>
          <w:b/>
          <w:i w:val="0"/>
          <w:color w:val="2F80ED"/>
          <w:sz w:val="22"/>
        </w:rPr>
        <w:t xml:space="preserve">10  </w:t>
      </w:r>
      <w:r>
        <w:rPr>
          <w:rFonts w:ascii="Inter" w:hAnsi="Inter"/>
          <w:b/>
          <w:i w:val="0"/>
          <w:color w:val="132238"/>
          <w:sz w:val="40"/>
        </w:rPr>
        <w:t>Domande frequenti e risposte consigliate</w:t>
      </w:r>
    </w:p>
    <w:p>
      <w:pPr>
        <w:spacing w:after="240"/>
      </w:pPr>
      <w:r>
        <w:rPr>
          <w:rFonts w:ascii="Inter" w:hAnsi="Inter"/>
          <w:b w:val="0"/>
          <w:i w:val="0"/>
          <w:color w:val="5F6B7A"/>
          <w:sz w:val="21"/>
        </w:rPr>
        <w:t>Una piccola banca di interventi per la conduzione del laboratorio.</w:t>
      </w:r>
    </w:p>
    <w:tbl>
      <w:tblPr>
        <w:tblW w:type="auto" w:w="0"/>
        <w:tblLayout w:type="fixed"/>
        <w:tblLook w:firstColumn="1" w:firstRow="1" w:lastColumn="0" w:lastRow="0" w:noHBand="0" w:noVBand="1" w:val="04A0"/>
      </w:tblPr>
      <w:tblGrid>
        <w:gridCol w:w="2268"/>
        <w:gridCol w:w="7370"/>
      </w:tblGrid>
      <w:tr>
        <w:tc>
          <w:tcPr>
            <w:tcW w:type="dxa" w:w="5018"/>
            <w:shd w:fill="2F80ED"/>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5018"/>
            <w:shd w:fill="E8EEF5"/>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r>
    </w:tbl>
    <w:p>
      <w:pPr>
        <w:spacing w:after="20"/>
      </w:pPr>
    </w:p>
    <w:tbl>
      <w:tblPr>
        <w:tblW w:type="auto" w:w="0"/>
        <w:jc w:val="center"/>
        <w:tblLayout w:type="fixed"/>
        <w:tblLook w:firstColumn="1" w:firstRow="1" w:lastColumn="0" w:lastRow="0" w:noHBand="0" w:noVBand="1" w:val="04A0"/>
      </w:tblPr>
      <w:tblGrid>
        <w:gridCol w:w="181"/>
        <w:gridCol w:w="9241"/>
      </w:tblGrid>
      <w:tr>
        <w:tc>
          <w:tcPr>
            <w:tcW w:type="dxa" w:w="5018"/>
            <w:shd w:fill="149C95"/>
            <w:tcBorders>
              <w:top w:val="single" w:sz="0" w:color="149C95"/>
              <w:left w:val="single" w:sz="0" w:color="149C95"/>
              <w:bottom w:val="single" w:sz="0" w:color="149C95"/>
              <w:right w:val="single" w:sz="0" w:color="149C95"/>
              <w:insideH w:val="single" w:sz="0" w:color="149C95"/>
              <w:insideV w:val="single" w:sz="0" w:color="149C95"/>
            </w:tcBorders>
            <w:tcMar>
              <w:top w:w="80" w:type="dxa"/>
              <w:start w:w="0" w:type="dxa"/>
              <w:bottom w:w="80" w:type="dxa"/>
              <w:end w:w="0" w:type="dxa"/>
            </w:tcMar>
          </w:tcPr>
          <w:p/>
        </w:tc>
        <w:tc>
          <w:tcPr>
            <w:tcW w:type="dxa" w:w="5018"/>
            <w:shd w:fill="E8F8F6"/>
            <w:tcBorders>
              <w:top w:val="single" w:sz="0" w:color="E8F8F6"/>
              <w:left w:val="single" w:sz="0" w:color="E8F8F6"/>
              <w:bottom w:val="single" w:sz="0" w:color="E8F8F6"/>
              <w:right w:val="single" w:sz="0" w:color="E8F8F6"/>
              <w:insideH w:val="single" w:sz="0" w:color="E8F8F6"/>
              <w:insideV w:val="single" w:sz="0" w:color="E8F8F6"/>
            </w:tcBorders>
            <w:tcMar>
              <w:top w:w="160" w:type="dxa"/>
              <w:start w:w="210" w:type="dxa"/>
              <w:bottom w:w="160" w:type="dxa"/>
              <w:end w:w="210" w:type="dxa"/>
            </w:tcMar>
          </w:tcPr>
          <w:p>
            <w:pPr>
              <w:spacing w:after="60"/>
            </w:pPr>
            <w:r>
              <w:rPr>
                <w:rFonts w:ascii="Inter" w:hAnsi="Inter"/>
                <w:b/>
                <w:i w:val="0"/>
                <w:color w:val="149C95"/>
                <w:sz w:val="21"/>
              </w:rPr>
              <w:t>“Ogni neurone rappresenta una parola o un concetto?”</w:t>
            </w:r>
          </w:p>
          <w:p>
            <w:pPr>
              <w:spacing w:line="259" w:lineRule="auto"/>
            </w:pPr>
            <w:r>
              <w:rPr>
                <w:rFonts w:ascii="Inter" w:hAnsi="Inter"/>
                <w:b w:val="0"/>
                <w:i w:val="0"/>
                <w:color w:val="1C2633"/>
                <w:sz w:val="19"/>
              </w:rPr>
              <w:t>No. Alcune unità possono correlare con caratteristiche interpretabili, ma le rappresentazioni sono generalmente distribuite su molte dimensioni e molti neuroni.</w:t>
            </w:r>
          </w:p>
        </w:tc>
      </w:tr>
    </w:tbl>
    <w:p>
      <w:pPr>
        <w:spacing w:after="20"/>
      </w:pPr>
    </w:p>
    <w:tbl>
      <w:tblPr>
        <w:tblW w:type="auto" w:w="0"/>
        <w:jc w:val="center"/>
        <w:tblLayout w:type="fixed"/>
        <w:tblLook w:firstColumn="1" w:firstRow="1" w:lastColumn="0" w:lastRow="0" w:noHBand="0" w:noVBand="1" w:val="04A0"/>
      </w:tblPr>
      <w:tblGrid>
        <w:gridCol w:w="181"/>
        <w:gridCol w:w="9241"/>
      </w:tblGrid>
      <w:tr>
        <w:tc>
          <w:tcPr>
            <w:tcW w:type="dxa" w:w="5018"/>
            <w:shd w:fill="149C95"/>
            <w:tcBorders>
              <w:top w:val="single" w:sz="0" w:color="149C95"/>
              <w:left w:val="single" w:sz="0" w:color="149C95"/>
              <w:bottom w:val="single" w:sz="0" w:color="149C95"/>
              <w:right w:val="single" w:sz="0" w:color="149C95"/>
              <w:insideH w:val="single" w:sz="0" w:color="149C95"/>
              <w:insideV w:val="single" w:sz="0" w:color="149C95"/>
            </w:tcBorders>
            <w:tcMar>
              <w:top w:w="80" w:type="dxa"/>
              <w:start w:w="0" w:type="dxa"/>
              <w:bottom w:w="80" w:type="dxa"/>
              <w:end w:w="0" w:type="dxa"/>
            </w:tcMar>
          </w:tcPr>
          <w:p/>
        </w:tc>
        <w:tc>
          <w:tcPr>
            <w:tcW w:type="dxa" w:w="5018"/>
            <w:shd w:fill="E8F8F6"/>
            <w:tcBorders>
              <w:top w:val="single" w:sz="0" w:color="E8F8F6"/>
              <w:left w:val="single" w:sz="0" w:color="E8F8F6"/>
              <w:bottom w:val="single" w:sz="0" w:color="E8F8F6"/>
              <w:right w:val="single" w:sz="0" w:color="E8F8F6"/>
              <w:insideH w:val="single" w:sz="0" w:color="E8F8F6"/>
              <w:insideV w:val="single" w:sz="0" w:color="E8F8F6"/>
            </w:tcBorders>
            <w:tcMar>
              <w:top w:w="160" w:type="dxa"/>
              <w:start w:w="210" w:type="dxa"/>
              <w:bottom w:w="160" w:type="dxa"/>
              <w:end w:w="210" w:type="dxa"/>
            </w:tcMar>
          </w:tcPr>
          <w:p>
            <w:pPr>
              <w:spacing w:after="60"/>
            </w:pPr>
            <w:r>
              <w:rPr>
                <w:rFonts w:ascii="Inter" w:hAnsi="Inter"/>
                <w:b/>
                <w:i w:val="0"/>
                <w:color w:val="149C95"/>
                <w:sz w:val="21"/>
              </w:rPr>
              <w:t>“Il modello cambia i pesi mentre mi risponde?”</w:t>
            </w:r>
          </w:p>
          <w:p>
            <w:pPr>
              <w:spacing w:line="259" w:lineRule="auto"/>
            </w:pPr>
            <w:r>
              <w:rPr>
                <w:rFonts w:ascii="Inter" w:hAnsi="Inter"/>
                <w:b w:val="0"/>
                <w:i w:val="0"/>
                <w:color w:val="1C2633"/>
                <w:sz w:val="19"/>
              </w:rPr>
              <w:t>Normalmente no: durante l’inferenza usa parametri già appresi. Cambiano le attivazioni interne e i coefficienti di attention calcolati dal contesto.</w:t>
            </w:r>
          </w:p>
        </w:tc>
      </w:tr>
    </w:tbl>
    <w:p>
      <w:pPr>
        <w:spacing w:after="20"/>
      </w:pPr>
    </w:p>
    <w:tbl>
      <w:tblPr>
        <w:tblW w:type="auto" w:w="0"/>
        <w:jc w:val="center"/>
        <w:tblLayout w:type="fixed"/>
        <w:tblLook w:firstColumn="1" w:firstRow="1" w:lastColumn="0" w:lastRow="0" w:noHBand="0" w:noVBand="1" w:val="04A0"/>
      </w:tblPr>
      <w:tblGrid>
        <w:gridCol w:w="181"/>
        <w:gridCol w:w="9241"/>
      </w:tblGrid>
      <w:tr>
        <w:tc>
          <w:tcPr>
            <w:tcW w:type="dxa" w:w="5018"/>
            <w:shd w:fill="149C95"/>
            <w:tcBorders>
              <w:top w:val="single" w:sz="0" w:color="149C95"/>
              <w:left w:val="single" w:sz="0" w:color="149C95"/>
              <w:bottom w:val="single" w:sz="0" w:color="149C95"/>
              <w:right w:val="single" w:sz="0" w:color="149C95"/>
              <w:insideH w:val="single" w:sz="0" w:color="149C95"/>
              <w:insideV w:val="single" w:sz="0" w:color="149C95"/>
            </w:tcBorders>
            <w:tcMar>
              <w:top w:w="80" w:type="dxa"/>
              <w:start w:w="0" w:type="dxa"/>
              <w:bottom w:w="80" w:type="dxa"/>
              <w:end w:w="0" w:type="dxa"/>
            </w:tcMar>
          </w:tcPr>
          <w:p/>
        </w:tc>
        <w:tc>
          <w:tcPr>
            <w:tcW w:type="dxa" w:w="5018"/>
            <w:shd w:fill="E8F8F6"/>
            <w:tcBorders>
              <w:top w:val="single" w:sz="0" w:color="E8F8F6"/>
              <w:left w:val="single" w:sz="0" w:color="E8F8F6"/>
              <w:bottom w:val="single" w:sz="0" w:color="E8F8F6"/>
              <w:right w:val="single" w:sz="0" w:color="E8F8F6"/>
              <w:insideH w:val="single" w:sz="0" w:color="E8F8F6"/>
              <w:insideV w:val="single" w:sz="0" w:color="E8F8F6"/>
            </w:tcBorders>
            <w:tcMar>
              <w:top w:w="160" w:type="dxa"/>
              <w:start w:w="210" w:type="dxa"/>
              <w:bottom w:w="160" w:type="dxa"/>
              <w:end w:w="210" w:type="dxa"/>
            </w:tcMar>
          </w:tcPr>
          <w:p>
            <w:pPr>
              <w:spacing w:after="60"/>
            </w:pPr>
            <w:r>
              <w:rPr>
                <w:rFonts w:ascii="Inter" w:hAnsi="Inter"/>
                <w:b/>
                <w:i w:val="0"/>
                <w:color w:val="149C95"/>
                <w:sz w:val="21"/>
              </w:rPr>
              <w:t>“Se la temperatura è zero il modello dice sempre la verità?”</w:t>
            </w:r>
          </w:p>
          <w:p>
            <w:pPr>
              <w:spacing w:line="259" w:lineRule="auto"/>
            </w:pPr>
            <w:r>
              <w:rPr>
                <w:rFonts w:ascii="Inter" w:hAnsi="Inter"/>
                <w:b w:val="0"/>
                <w:i w:val="0"/>
                <w:color w:val="1C2633"/>
                <w:sz w:val="19"/>
              </w:rPr>
              <w:t>No. Rende la scelta più deterministica rispetto ai punteggi del modello, ma non trasforma i punteggi in un meccanismo di verifica fattuale.</w:t>
            </w:r>
          </w:p>
        </w:tc>
      </w:tr>
    </w:tbl>
    <w:p>
      <w:pPr>
        <w:spacing w:after="20"/>
      </w:pPr>
    </w:p>
    <w:tbl>
      <w:tblPr>
        <w:tblW w:type="auto" w:w="0"/>
        <w:jc w:val="center"/>
        <w:tblLayout w:type="fixed"/>
        <w:tblLook w:firstColumn="1" w:firstRow="1" w:lastColumn="0" w:lastRow="0" w:noHBand="0" w:noVBand="1" w:val="04A0"/>
      </w:tblPr>
      <w:tblGrid>
        <w:gridCol w:w="181"/>
        <w:gridCol w:w="9241"/>
      </w:tblGrid>
      <w:tr>
        <w:tc>
          <w:tcPr>
            <w:tcW w:type="dxa" w:w="5018"/>
            <w:shd w:fill="149C95"/>
            <w:tcBorders>
              <w:top w:val="single" w:sz="0" w:color="149C95"/>
              <w:left w:val="single" w:sz="0" w:color="149C95"/>
              <w:bottom w:val="single" w:sz="0" w:color="149C95"/>
              <w:right w:val="single" w:sz="0" w:color="149C95"/>
              <w:insideH w:val="single" w:sz="0" w:color="149C95"/>
              <w:insideV w:val="single" w:sz="0" w:color="149C95"/>
            </w:tcBorders>
            <w:tcMar>
              <w:top w:w="80" w:type="dxa"/>
              <w:start w:w="0" w:type="dxa"/>
              <w:bottom w:w="80" w:type="dxa"/>
              <w:end w:w="0" w:type="dxa"/>
            </w:tcMar>
          </w:tcPr>
          <w:p/>
        </w:tc>
        <w:tc>
          <w:tcPr>
            <w:tcW w:type="dxa" w:w="5018"/>
            <w:shd w:fill="E8F8F6"/>
            <w:tcBorders>
              <w:top w:val="single" w:sz="0" w:color="E8F8F6"/>
              <w:left w:val="single" w:sz="0" w:color="E8F8F6"/>
              <w:bottom w:val="single" w:sz="0" w:color="E8F8F6"/>
              <w:right w:val="single" w:sz="0" w:color="E8F8F6"/>
              <w:insideH w:val="single" w:sz="0" w:color="E8F8F6"/>
              <w:insideV w:val="single" w:sz="0" w:color="E8F8F6"/>
            </w:tcBorders>
            <w:tcMar>
              <w:top w:w="160" w:type="dxa"/>
              <w:start w:w="210" w:type="dxa"/>
              <w:bottom w:w="160" w:type="dxa"/>
              <w:end w:w="210" w:type="dxa"/>
            </w:tcMar>
          </w:tcPr>
          <w:p>
            <w:pPr>
              <w:spacing w:after="60"/>
            </w:pPr>
            <w:r>
              <w:rPr>
                <w:rFonts w:ascii="Inter" w:hAnsi="Inter"/>
                <w:b/>
                <w:i w:val="0"/>
                <w:color w:val="149C95"/>
                <w:sz w:val="21"/>
              </w:rPr>
              <w:t>“Perché serve il bias?”</w:t>
            </w:r>
          </w:p>
          <w:p>
            <w:pPr>
              <w:spacing w:line="259" w:lineRule="auto"/>
            </w:pPr>
            <w:r>
              <w:rPr>
                <w:rFonts w:ascii="Inter" w:hAnsi="Inter"/>
                <w:b w:val="0"/>
                <w:i w:val="0"/>
                <w:color w:val="1C2633"/>
                <w:sz w:val="19"/>
              </w:rPr>
              <w:t>Per spostare la soglia/risposta della trasformazione. Senza bias alcune funzioni sarebbero vincolate a passare per l’origine e avrebbero meno flessibilità.</w:t>
            </w:r>
          </w:p>
        </w:tc>
      </w:tr>
    </w:tbl>
    <w:p>
      <w:pPr>
        <w:spacing w:after="20"/>
      </w:pPr>
    </w:p>
    <w:tbl>
      <w:tblPr>
        <w:tblW w:type="auto" w:w="0"/>
        <w:jc w:val="center"/>
        <w:tblLayout w:type="fixed"/>
        <w:tblLook w:firstColumn="1" w:firstRow="1" w:lastColumn="0" w:lastRow="0" w:noHBand="0" w:noVBand="1" w:val="04A0"/>
      </w:tblPr>
      <w:tblGrid>
        <w:gridCol w:w="181"/>
        <w:gridCol w:w="9241"/>
      </w:tblGrid>
      <w:tr>
        <w:tc>
          <w:tcPr>
            <w:tcW w:type="dxa" w:w="5018"/>
            <w:shd w:fill="149C95"/>
            <w:tcBorders>
              <w:top w:val="single" w:sz="0" w:color="149C95"/>
              <w:left w:val="single" w:sz="0" w:color="149C95"/>
              <w:bottom w:val="single" w:sz="0" w:color="149C95"/>
              <w:right w:val="single" w:sz="0" w:color="149C95"/>
              <w:insideH w:val="single" w:sz="0" w:color="149C95"/>
              <w:insideV w:val="single" w:sz="0" w:color="149C95"/>
            </w:tcBorders>
            <w:tcMar>
              <w:top w:w="80" w:type="dxa"/>
              <w:start w:w="0" w:type="dxa"/>
              <w:bottom w:w="80" w:type="dxa"/>
              <w:end w:w="0" w:type="dxa"/>
            </w:tcMar>
          </w:tcPr>
          <w:p/>
        </w:tc>
        <w:tc>
          <w:tcPr>
            <w:tcW w:type="dxa" w:w="5018"/>
            <w:shd w:fill="E8F8F6"/>
            <w:tcBorders>
              <w:top w:val="single" w:sz="0" w:color="E8F8F6"/>
              <w:left w:val="single" w:sz="0" w:color="E8F8F6"/>
              <w:bottom w:val="single" w:sz="0" w:color="E8F8F6"/>
              <w:right w:val="single" w:sz="0" w:color="E8F8F6"/>
              <w:insideH w:val="single" w:sz="0" w:color="E8F8F6"/>
              <w:insideV w:val="single" w:sz="0" w:color="E8F8F6"/>
            </w:tcBorders>
            <w:tcMar>
              <w:top w:w="160" w:type="dxa"/>
              <w:start w:w="210" w:type="dxa"/>
              <w:bottom w:w="160" w:type="dxa"/>
              <w:end w:w="210" w:type="dxa"/>
            </w:tcMar>
          </w:tcPr>
          <w:p>
            <w:pPr>
              <w:spacing w:after="60"/>
            </w:pPr>
            <w:r>
              <w:rPr>
                <w:rFonts w:ascii="Inter" w:hAnsi="Inter"/>
                <w:b/>
                <w:i w:val="0"/>
                <w:color w:val="149C95"/>
                <w:sz w:val="21"/>
              </w:rPr>
              <w:t>“XOR dimostra che una rete profonda è intelligente?”</w:t>
            </w:r>
          </w:p>
          <w:p>
            <w:pPr>
              <w:spacing w:line="259" w:lineRule="auto"/>
            </w:pPr>
            <w:r>
              <w:rPr>
                <w:rFonts w:ascii="Inter" w:hAnsi="Inter"/>
                <w:b w:val="0"/>
                <w:i w:val="0"/>
                <w:color w:val="1C2633"/>
                <w:sz w:val="19"/>
              </w:rPr>
              <w:t>No. Dimostra solo che una rappresentazione intermedia non lineare consente di modellare una relazione che un singolo classificatore lineare non può separare.</w:t>
            </w:r>
          </w:p>
        </w:tc>
      </w:tr>
    </w:tbl>
    <w:p>
      <w:pPr>
        <w:spacing w:after="20"/>
      </w:pPr>
    </w:p>
    <w:p>
      <w:pPr>
        <w:pageBreakBefore/>
        <w:spacing w:before="80" w:after="140"/>
      </w:pPr>
      <w:r>
        <w:rPr>
          <w:rFonts w:ascii="Inter" w:hAnsi="Inter"/>
          <w:b/>
          <w:i w:val="0"/>
          <w:color w:val="2F80ED"/>
          <w:sz w:val="22"/>
        </w:rPr>
        <w:t xml:space="preserve">11  </w:t>
      </w:r>
      <w:r>
        <w:rPr>
          <w:rFonts w:ascii="Inter" w:hAnsi="Inter"/>
          <w:b/>
          <w:i w:val="0"/>
          <w:color w:val="132238"/>
          <w:sz w:val="40"/>
        </w:rPr>
        <w:t>Misconcezioni da diagnosticare</w:t>
      </w:r>
    </w:p>
    <w:p>
      <w:pPr>
        <w:spacing w:after="240"/>
      </w:pPr>
      <w:r>
        <w:rPr>
          <w:rFonts w:ascii="Inter" w:hAnsi="Inter"/>
          <w:b w:val="0"/>
          <w:i w:val="0"/>
          <w:color w:val="5F6B7A"/>
          <w:sz w:val="21"/>
        </w:rPr>
        <w:t>Gli errori concettuali più frequenti sono indicatori utili per la formazione.</w:t>
      </w:r>
    </w:p>
    <w:tbl>
      <w:tblPr>
        <w:tblW w:type="auto" w:w="0"/>
        <w:tblLayout w:type="fixed"/>
        <w:tblLook w:firstColumn="1" w:firstRow="1" w:lastColumn="0" w:lastRow="0" w:noHBand="0" w:noVBand="1" w:val="04A0"/>
      </w:tblPr>
      <w:tblGrid>
        <w:gridCol w:w="2268"/>
        <w:gridCol w:w="7370"/>
      </w:tblGrid>
      <w:tr>
        <w:tc>
          <w:tcPr>
            <w:tcW w:type="dxa" w:w="5018"/>
            <w:shd w:fill="2F80ED"/>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5018"/>
            <w:shd w:fill="E8EEF5"/>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r>
    </w:tbl>
    <w:p>
      <w:pPr>
        <w:spacing w:after="20"/>
      </w:pPr>
    </w:p>
    <w:tbl>
      <w:tblPr>
        <w:tblW w:type="auto" w:w="0"/>
        <w:jc w:val="center"/>
        <w:tblLayout w:type="fixed"/>
        <w:tblLook w:firstColumn="1" w:firstRow="1" w:lastColumn="0" w:lastRow="0" w:noHBand="0" w:noVBand="1" w:val="04A0"/>
      </w:tblPr>
      <w:tblGrid>
        <w:gridCol w:w="3345"/>
        <w:gridCol w:w="3345"/>
        <w:gridCol w:w="3345"/>
      </w:tblGrid>
      <w:tr>
        <w:tc>
          <w:tcPr>
            <w:tcW w:type="dxa" w:w="2268"/>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Misconcezione</w:t>
            </w:r>
          </w:p>
        </w:tc>
        <w:tc>
          <w:tcPr>
            <w:tcW w:type="dxa" w:w="3118"/>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Segnale osservabile</w:t>
            </w:r>
          </w:p>
        </w:tc>
        <w:tc>
          <w:tcPr>
            <w:tcW w:type="dxa" w:w="3969"/>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Intervento</w:t>
            </w:r>
          </w:p>
        </w:tc>
      </w:tr>
      <w:tr>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peso = importanza assoluta</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“la connessione più pesante è sempre la più importante”</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mostrare che contributo = attivazione × peso</w:t>
            </w:r>
          </w:p>
        </w:tc>
      </w:tr>
      <w:tr>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bias = pregiudizio</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confusione tra termine matematico e bias sociale</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separare esplicitamente i due significati</w:t>
            </w:r>
          </w:p>
        </w:tc>
      </w:tr>
      <w:tr>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neurone = decisione cosciente</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uso di “vuole”, “sa”, “capisce”</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riformulare in termini di trasformazione numerica</w:t>
            </w:r>
          </w:p>
        </w:tc>
      </w:tr>
      <w:tr>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training = memorizzazione</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“ha salvato tutte le frasi”</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introdurre generalizzazione e rappresentazioni distribuite</w:t>
            </w:r>
          </w:p>
        </w:tc>
      </w:tr>
      <w:tr>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generazione = apprendimento in tempo reale</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“assegna nuovi pesi mentre scrive”</w:t>
            </w:r>
          </w:p>
        </w:tc>
        <w:tc>
          <w:tcPr>
            <w:tcW w:type="dxa" w:w="3345"/>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distinguere parametri fissi e attivazioni dinamiche</w:t>
            </w:r>
          </w:p>
        </w:tc>
      </w:tr>
      <w:tr>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probabile = vero</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fiducia eccessiva nel testo fluido</w:t>
            </w:r>
          </w:p>
        </w:tc>
        <w:tc>
          <w:tcPr>
            <w:tcW w:type="dxa" w:w="3345"/>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usare un esempio plausibile ma falso e chiedere verifica</w:t>
            </w:r>
          </w:p>
        </w:tc>
      </w:tr>
    </w:tbl>
    <w:p>
      <w:pPr>
        <w:spacing w:after="40"/>
      </w:pPr>
    </w:p>
    <w:p>
      <w:pPr>
        <w:pageBreakBefore/>
        <w:spacing w:before="80" w:after="140"/>
      </w:pPr>
      <w:r>
        <w:rPr>
          <w:rFonts w:ascii="Inter" w:hAnsi="Inter"/>
          <w:b/>
          <w:i w:val="0"/>
          <w:color w:val="2F80ED"/>
          <w:sz w:val="22"/>
        </w:rPr>
        <w:t xml:space="preserve">12  </w:t>
      </w:r>
      <w:r>
        <w:rPr>
          <w:rFonts w:ascii="Inter" w:hAnsi="Inter"/>
          <w:b/>
          <w:i w:val="0"/>
          <w:color w:val="132238"/>
          <w:sz w:val="40"/>
        </w:rPr>
        <w:t>Valutazione formativa</w:t>
      </w:r>
    </w:p>
    <w:p>
      <w:pPr>
        <w:spacing w:after="240"/>
      </w:pPr>
      <w:r>
        <w:rPr>
          <w:rFonts w:ascii="Inter" w:hAnsi="Inter"/>
          <w:b w:val="0"/>
          <w:i w:val="0"/>
          <w:color w:val="5F6B7A"/>
          <w:sz w:val="21"/>
        </w:rPr>
        <w:t>Una griglia leggera per osservare la qualità del modello mentale.</w:t>
      </w:r>
    </w:p>
    <w:tbl>
      <w:tblPr>
        <w:tblW w:type="auto" w:w="0"/>
        <w:tblLayout w:type="fixed"/>
        <w:tblLook w:firstColumn="1" w:firstRow="1" w:lastColumn="0" w:lastRow="0" w:noHBand="0" w:noVBand="1" w:val="04A0"/>
      </w:tblPr>
      <w:tblGrid>
        <w:gridCol w:w="2268"/>
        <w:gridCol w:w="7370"/>
      </w:tblGrid>
      <w:tr>
        <w:tc>
          <w:tcPr>
            <w:tcW w:type="dxa" w:w="5018"/>
            <w:shd w:fill="2F80ED"/>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5018"/>
            <w:shd w:fill="E8EEF5"/>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r>
    </w:tbl>
    <w:p>
      <w:pPr>
        <w:spacing w:after="20"/>
      </w:pPr>
    </w:p>
    <w:tbl>
      <w:tblPr>
        <w:tblW w:type="auto" w:w="0"/>
        <w:jc w:val="center"/>
        <w:tblLayout w:type="fixed"/>
        <w:tblLook w:firstColumn="1" w:firstRow="1" w:lastColumn="0" w:lastRow="0" w:noHBand="0" w:noVBand="1" w:val="04A0"/>
      </w:tblPr>
      <w:tblGrid>
        <w:gridCol w:w="2509"/>
        <w:gridCol w:w="2509"/>
        <w:gridCol w:w="2509"/>
        <w:gridCol w:w="2509"/>
      </w:tblGrid>
      <w:tr>
        <w:tc>
          <w:tcPr>
            <w:tcW w:type="dxa" w:w="1814"/>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Dimensione</w:t>
            </w:r>
          </w:p>
        </w:tc>
        <w:tc>
          <w:tcPr>
            <w:tcW w:type="dxa" w:w="2381"/>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Iniziale</w:t>
            </w:r>
          </w:p>
        </w:tc>
        <w:tc>
          <w:tcPr>
            <w:tcW w:type="dxa" w:w="2721"/>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Intermedio</w:t>
            </w:r>
          </w:p>
        </w:tc>
        <w:tc>
          <w:tcPr>
            <w:tcW w:type="dxa" w:w="2835"/>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Solido</w:t>
            </w:r>
          </w:p>
        </w:tc>
      </w:tr>
      <w:tr>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Neurone</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usa antropomorfismi</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descrive input/peso ma confonde bias/attivazione</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spiega correttamente z e f(z)</w:t>
            </w:r>
          </w:p>
        </w:tc>
      </w:tr>
      <w:tr>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AND/XOR</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ricorda solo tabelle</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sa che XOR “serve più rete”</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spiega la non separabilità lineare e il ruolo hidden</w:t>
            </w:r>
          </w:p>
        </w:tc>
      </w:tr>
      <w:tr>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Apprendimento</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“la rete memorizza”</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sa che i pesi cambiano</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collega loss, gradiente, aggiornamento e generalizzazione</w:t>
            </w:r>
          </w:p>
        </w:tc>
      </w:tr>
      <w:tr>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GenAI</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“sceglie parole che sa”</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parla di probabilità</w:t>
            </w:r>
          </w:p>
        </w:tc>
        <w:tc>
          <w:tcPr>
            <w:tcW w:type="dxa" w:w="2509"/>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distingue token, logit, softmax, temperatura e verità</w:t>
            </w:r>
          </w:p>
        </w:tc>
      </w:tr>
      <w:tr>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Transformer</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assimila tutto a rete classica</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nomina attention</w:t>
            </w:r>
          </w:p>
        </w:tc>
        <w:tc>
          <w:tcPr>
            <w:tcW w:type="dxa" w:w="2509"/>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distingue parametri appresi, attivazioni e attention dinamica</w:t>
            </w:r>
          </w:p>
        </w:tc>
      </w:tr>
    </w:tbl>
    <w:p>
      <w:pPr>
        <w:spacing w:after="40"/>
      </w:pPr>
    </w:p>
    <w:tbl>
      <w:tblPr>
        <w:tblW w:type="auto" w:w="0"/>
        <w:jc w:val="center"/>
        <w:tblLayout w:type="fixed"/>
        <w:tblLook w:firstColumn="1" w:firstRow="1" w:lastColumn="0" w:lastRow="0" w:noHBand="0" w:noVBand="1" w:val="04A0"/>
      </w:tblPr>
      <w:tblGrid>
        <w:gridCol w:w="181"/>
        <w:gridCol w:w="9241"/>
      </w:tblGrid>
      <w:tr>
        <w:tc>
          <w:tcPr>
            <w:tcW w:type="dxa" w:w="5018"/>
            <w:shd w:fill="2F80ED"/>
            <w:tcBorders>
              <w:top w:val="single" w:sz="0" w:color="2F80ED"/>
              <w:left w:val="single" w:sz="0" w:color="2F80ED"/>
              <w:bottom w:val="single" w:sz="0" w:color="2F80ED"/>
              <w:right w:val="single" w:sz="0" w:color="2F80ED"/>
              <w:insideH w:val="single" w:sz="0" w:color="2F80ED"/>
              <w:insideV w:val="single" w:sz="0" w:color="2F80ED"/>
            </w:tcBorders>
            <w:tcMar>
              <w:top w:w="80" w:type="dxa"/>
              <w:start w:w="0" w:type="dxa"/>
              <w:bottom w:w="80" w:type="dxa"/>
              <w:end w:w="0" w:type="dxa"/>
            </w:tcMar>
          </w:tcPr>
          <w:p/>
        </w:tc>
        <w:tc>
          <w:tcPr>
            <w:tcW w:type="dxa" w:w="5018"/>
            <w:shd w:fill="DDF4FF"/>
            <w:tcBorders>
              <w:top w:val="single" w:sz="0" w:color="DDF4FF"/>
              <w:left w:val="single" w:sz="0" w:color="DDF4FF"/>
              <w:bottom w:val="single" w:sz="0" w:color="DDF4FF"/>
              <w:right w:val="single" w:sz="0" w:color="DDF4FF"/>
              <w:insideH w:val="single" w:sz="0" w:color="DDF4FF"/>
              <w:insideV w:val="single" w:sz="0" w:color="DDF4FF"/>
            </w:tcBorders>
            <w:tcMar>
              <w:top w:w="160" w:type="dxa"/>
              <w:start w:w="210" w:type="dxa"/>
              <w:bottom w:w="160" w:type="dxa"/>
              <w:end w:w="210" w:type="dxa"/>
            </w:tcMar>
          </w:tcPr>
          <w:p>
            <w:pPr>
              <w:spacing w:after="60"/>
            </w:pPr>
            <w:r>
              <w:rPr>
                <w:rFonts w:ascii="Inter" w:hAnsi="Inter"/>
                <w:b/>
                <w:i w:val="0"/>
                <w:color w:val="2F80ED"/>
                <w:sz w:val="21"/>
              </w:rPr>
              <w:t>USO</w:t>
            </w:r>
          </w:p>
          <w:p>
            <w:pPr>
              <w:spacing w:line="259" w:lineRule="auto"/>
            </w:pPr>
            <w:r>
              <w:rPr>
                <w:rFonts w:ascii="Inter" w:hAnsi="Inter"/>
                <w:b w:val="0"/>
                <w:i w:val="0"/>
                <w:color w:val="1C2633"/>
                <w:sz w:val="19"/>
              </w:rPr>
              <w:t>La griglia è pensata per feedback formativo, non per attribuire un voto. Può essere usata come checklist finale o per confrontare le risposte prima/dopo il laboratorio.</w:t>
            </w:r>
          </w:p>
        </w:tc>
      </w:tr>
    </w:tbl>
    <w:p>
      <w:pPr>
        <w:spacing w:after="20"/>
      </w:pPr>
    </w:p>
    <w:p>
      <w:pPr>
        <w:pageBreakBefore/>
        <w:spacing w:before="80" w:after="140"/>
      </w:pPr>
      <w:r>
        <w:rPr>
          <w:rFonts w:ascii="Inter" w:hAnsi="Inter"/>
          <w:b/>
          <w:i w:val="0"/>
          <w:color w:val="2F80ED"/>
          <w:sz w:val="22"/>
        </w:rPr>
        <w:t xml:space="preserve">13  </w:t>
      </w:r>
      <w:r>
        <w:rPr>
          <w:rFonts w:ascii="Inter" w:hAnsi="Inter"/>
          <w:b/>
          <w:i w:val="0"/>
          <w:color w:val="132238"/>
          <w:sz w:val="40"/>
        </w:rPr>
        <w:t>Approfondimento tecnico opzionale</w:t>
      </w:r>
    </w:p>
    <w:p>
      <w:pPr>
        <w:spacing w:after="240"/>
      </w:pPr>
      <w:r>
        <w:rPr>
          <w:rFonts w:ascii="Inter" w:hAnsi="Inter"/>
          <w:b w:val="0"/>
          <w:i w:val="0"/>
          <w:color w:val="5F6B7A"/>
          <w:sz w:val="21"/>
        </w:rPr>
        <w:t>Per il formatore che vuole avere un livello in più, senza appesantire la lezione.</w:t>
      </w:r>
    </w:p>
    <w:tbl>
      <w:tblPr>
        <w:tblW w:type="auto" w:w="0"/>
        <w:tblLayout w:type="fixed"/>
        <w:tblLook w:firstColumn="1" w:firstRow="1" w:lastColumn="0" w:lastRow="0" w:noHBand="0" w:noVBand="1" w:val="04A0"/>
      </w:tblPr>
      <w:tblGrid>
        <w:gridCol w:w="2268"/>
        <w:gridCol w:w="7370"/>
      </w:tblGrid>
      <w:tr>
        <w:tc>
          <w:tcPr>
            <w:tcW w:type="dxa" w:w="5018"/>
            <w:shd w:fill="2F80ED"/>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5018"/>
            <w:shd w:fill="E8EEF5"/>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r>
    </w:tbl>
    <w:p>
      <w:pPr>
        <w:spacing w:after="20"/>
      </w:pPr>
    </w:p>
    <w:p>
      <w:pPr>
        <w:spacing w:before="200" w:after="100"/>
      </w:pPr>
      <w:r>
        <w:rPr>
          <w:rFonts w:ascii="Inter" w:hAnsi="Inter"/>
          <w:b/>
          <w:i w:val="0"/>
          <w:color w:val="132238"/>
          <w:sz w:val="28"/>
        </w:rPr>
        <w:t>Backpropagation</w:t>
      </w:r>
    </w:p>
    <w:p>
      <w:pPr>
        <w:spacing w:after="120" w:line="269" w:lineRule="auto"/>
      </w:pPr>
      <w:r>
        <w:rPr>
          <w:rFonts w:ascii="Inter" w:hAnsi="Inter"/>
          <w:b w:val="0"/>
          <w:i w:val="0"/>
          <w:color w:val="1C2633"/>
          <w:sz w:val="20"/>
        </w:rPr>
        <w:t>La backpropagation applica sistematicamente la regola della catena per calcolare le derivate della loss rispetto a ciascun parametro. Il vantaggio è computazionale: riutilizza risultati intermedi e rende praticabile l’ottimizzazione di reti con moltissimi parametri.</w:t>
      </w:r>
    </w:p>
    <w:p>
      <w:pPr>
        <w:spacing w:before="200" w:after="100"/>
      </w:pPr>
      <w:r>
        <w:rPr>
          <w:rFonts w:ascii="Inter" w:hAnsi="Inter"/>
          <w:b/>
          <w:i w:val="0"/>
          <w:color w:val="132238"/>
          <w:sz w:val="28"/>
        </w:rPr>
        <w:t>Cross-entropy</w:t>
      </w:r>
    </w:p>
    <w:p>
      <w:pPr>
        <w:spacing w:after="120" w:line="269" w:lineRule="auto"/>
      </w:pPr>
      <w:r>
        <w:rPr>
          <w:rFonts w:ascii="Inter" w:hAnsi="Inter"/>
          <w:b w:val="0"/>
          <w:i w:val="0"/>
          <w:color w:val="1C2633"/>
          <w:sz w:val="20"/>
        </w:rPr>
        <w:t>Nei problemi di classificazione e nei modelli linguistici, una loss comune confronta la distribuzione prevista con il target. Per un token corretto con probabilità p, il contributo tipico è −log(p): assegnare probabilità molto bassa al target viene penalizzato fortemente.</w:t>
      </w:r>
    </w:p>
    <w:p>
      <w:pPr>
        <w:spacing w:before="200" w:after="100"/>
      </w:pPr>
      <w:r>
        <w:rPr>
          <w:rFonts w:ascii="Inter" w:hAnsi="Inter"/>
          <w:b/>
          <w:i w:val="0"/>
          <w:color w:val="132238"/>
          <w:sz w:val="28"/>
        </w:rPr>
        <w:t>Embedding</w:t>
      </w:r>
    </w:p>
    <w:p>
      <w:pPr>
        <w:spacing w:after="120" w:line="269" w:lineRule="auto"/>
      </w:pPr>
      <w:r>
        <w:rPr>
          <w:rFonts w:ascii="Inter" w:hAnsi="Inter"/>
          <w:b w:val="0"/>
          <w:i w:val="0"/>
          <w:color w:val="1C2633"/>
          <w:sz w:val="20"/>
        </w:rPr>
        <w:t>Un embedding rappresenta un elemento discreto, come un token, tramite un vettore continuo. Durante l’elaborazione il vettore viene trasformato dal contesto; nei Transformer, quindi, la stessa parola può produrre rappresentazioni contestuali differenti in frasi differenti.</w:t>
      </w:r>
    </w:p>
    <w:p>
      <w:pPr>
        <w:spacing w:before="200" w:after="100"/>
      </w:pPr>
      <w:r>
        <w:rPr>
          <w:rFonts w:ascii="Inter" w:hAnsi="Inter"/>
          <w:b/>
          <w:i w:val="0"/>
          <w:color w:val="132238"/>
          <w:sz w:val="28"/>
        </w:rPr>
        <w:t>Residual connections</w:t>
      </w:r>
    </w:p>
    <w:p>
      <w:pPr>
        <w:spacing w:after="120" w:line="269" w:lineRule="auto"/>
      </w:pPr>
      <w:r>
        <w:rPr>
          <w:rFonts w:ascii="Inter" w:hAnsi="Inter"/>
          <w:b w:val="0"/>
          <w:i w:val="0"/>
          <w:color w:val="1C2633"/>
          <w:sz w:val="20"/>
        </w:rPr>
        <w:t>Le connessioni residue permettono di sommare l’input di un blocco alla sua trasformazione. Aiutano l’ottimizzazione di reti profonde e favoriscono il flusso dell’informazione attraverso molti strati.</w:t>
      </w:r>
    </w:p>
    <w:p>
      <w:pPr>
        <w:pageBreakBefore/>
        <w:spacing w:before="80" w:after="140"/>
      </w:pPr>
      <w:r>
        <w:rPr>
          <w:rFonts w:ascii="Inter" w:hAnsi="Inter"/>
          <w:b/>
          <w:i w:val="0"/>
          <w:color w:val="2F80ED"/>
          <w:sz w:val="22"/>
        </w:rPr>
        <w:t xml:space="preserve">14  </w:t>
      </w:r>
      <w:r>
        <w:rPr>
          <w:rFonts w:ascii="Inter" w:hAnsi="Inter"/>
          <w:b/>
          <w:i w:val="0"/>
          <w:color w:val="132238"/>
          <w:sz w:val="40"/>
        </w:rPr>
        <w:t>Glossario ragionato</w:t>
      </w:r>
    </w:p>
    <w:p>
      <w:pPr>
        <w:spacing w:after="240"/>
      </w:pPr>
      <w:r>
        <w:rPr>
          <w:rFonts w:ascii="Inter" w:hAnsi="Inter"/>
          <w:b w:val="0"/>
          <w:i w:val="0"/>
          <w:color w:val="5F6B7A"/>
          <w:sz w:val="21"/>
        </w:rPr>
        <w:t>Termini da usare in modo coerente durante la formazione.</w:t>
      </w:r>
    </w:p>
    <w:tbl>
      <w:tblPr>
        <w:tblW w:type="auto" w:w="0"/>
        <w:tblLayout w:type="fixed"/>
        <w:tblLook w:firstColumn="1" w:firstRow="1" w:lastColumn="0" w:lastRow="0" w:noHBand="0" w:noVBand="1" w:val="04A0"/>
      </w:tblPr>
      <w:tblGrid>
        <w:gridCol w:w="2268"/>
        <w:gridCol w:w="7370"/>
      </w:tblGrid>
      <w:tr>
        <w:tc>
          <w:tcPr>
            <w:tcW w:type="dxa" w:w="5018"/>
            <w:shd w:fill="2F80ED"/>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5018"/>
            <w:shd w:fill="E8EEF5"/>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r>
    </w:tbl>
    <w:p>
      <w:pPr>
        <w:spacing w:after="20"/>
      </w:pPr>
    </w:p>
    <w:tbl>
      <w:tblPr>
        <w:tblW w:type="auto" w:w="0"/>
        <w:jc w:val="center"/>
        <w:tblLayout w:type="fixed"/>
        <w:tblLook w:firstColumn="1" w:firstRow="1" w:lastColumn="0" w:lastRow="0" w:noHBand="0" w:noVBand="1" w:val="04A0"/>
      </w:tblPr>
      <w:tblGrid>
        <w:gridCol w:w="5018"/>
        <w:gridCol w:w="5018"/>
      </w:tblGrid>
      <w:tr>
        <w:tc>
          <w:tcPr>
            <w:tcW w:type="dxa" w:w="2268"/>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Termine</w:t>
            </w:r>
          </w:p>
        </w:tc>
        <w:tc>
          <w:tcPr>
            <w:tcW w:type="dxa" w:w="7087"/>
            <w:shd w:fill="132238"/>
            <w:tcBorders>
              <w:top w:val="single" w:sz="3" w:color="FFFFFF"/>
              <w:left w:val="single" w:sz="3" w:color="FFFFFF"/>
              <w:bottom w:val="single" w:sz="3" w:color="FFFFFF"/>
              <w:right w:val="single" w:sz="3" w:color="FFFFFF"/>
              <w:insideH w:val="single" w:sz="3" w:color="FFFFFF"/>
              <w:insideV w:val="single" w:sz="3" w:color="FFFFFF"/>
            </w:tcBorders>
            <w:tcMar>
              <w:top w:w="110" w:type="dxa"/>
              <w:start w:w="100" w:type="dxa"/>
              <w:bottom w:w="110" w:type="dxa"/>
              <w:end w:w="100" w:type="dxa"/>
            </w:tcMar>
          </w:tcPr>
          <w:p>
            <w:pPr>
              <w:jc w:val="center"/>
            </w:pPr>
            <w:r>
              <w:rPr>
                <w:rFonts w:ascii="Inter" w:hAnsi="Inter"/>
                <w:b/>
                <w:i w:val="0"/>
                <w:color w:val="FFFFFF"/>
                <w:sz w:val="18"/>
              </w:rPr>
              <w:t>Definizione</w:t>
            </w:r>
          </w:p>
        </w:tc>
      </w:tr>
      <w:tr>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Attivazione</w:t>
            </w:r>
          </w:p>
        </w:tc>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valore intermedio prodotto da un’unità o da un blocco per un dato input</w:t>
            </w:r>
          </w:p>
        </w:tc>
      </w:tr>
      <w:tr>
        <w:tc>
          <w:tcPr>
            <w:tcW w:type="dxa" w:w="5018"/>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Bias</w:t>
            </w:r>
          </w:p>
        </w:tc>
        <w:tc>
          <w:tcPr>
            <w:tcW w:type="dxa" w:w="5018"/>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parametro additivo di una trasformazione</w:t>
            </w:r>
          </w:p>
        </w:tc>
      </w:tr>
      <w:tr>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Embedding</w:t>
            </w:r>
          </w:p>
        </w:tc>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vettore che rappresenta un elemento discreto in uno spazio continuo</w:t>
            </w:r>
          </w:p>
        </w:tc>
      </w:tr>
      <w:tr>
        <w:tc>
          <w:tcPr>
            <w:tcW w:type="dxa" w:w="5018"/>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Epoch</w:t>
            </w:r>
          </w:p>
        </w:tc>
        <w:tc>
          <w:tcPr>
            <w:tcW w:type="dxa" w:w="5018"/>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passaggio completo sui dati di training</w:t>
            </w:r>
          </w:p>
        </w:tc>
      </w:tr>
      <w:tr>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Gradiente</w:t>
            </w:r>
          </w:p>
        </w:tc>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insieme delle derivate della loss rispetto ai parametri</w:t>
            </w:r>
          </w:p>
        </w:tc>
      </w:tr>
      <w:tr>
        <w:tc>
          <w:tcPr>
            <w:tcW w:type="dxa" w:w="5018"/>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Inference</w:t>
            </w:r>
          </w:p>
        </w:tc>
        <w:tc>
          <w:tcPr>
            <w:tcW w:type="dxa" w:w="5018"/>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uso del modello addestrato senza normale aggiornamento dei parametri</w:t>
            </w:r>
          </w:p>
        </w:tc>
      </w:tr>
      <w:tr>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Learning rate</w:t>
            </w:r>
          </w:p>
        </w:tc>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ampiezza degli aggiornamenti proposti dall’ottimizzatore</w:t>
            </w:r>
          </w:p>
        </w:tc>
      </w:tr>
      <w:tr>
        <w:tc>
          <w:tcPr>
            <w:tcW w:type="dxa" w:w="5018"/>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Logit</w:t>
            </w:r>
          </w:p>
        </w:tc>
        <w:tc>
          <w:tcPr>
            <w:tcW w:type="dxa" w:w="5018"/>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punteggio non normalizzato per un candidato</w:t>
            </w:r>
          </w:p>
        </w:tc>
      </w:tr>
      <w:tr>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Loss</w:t>
            </w:r>
          </w:p>
        </w:tc>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funzione obiettivo da minimizzare</w:t>
            </w:r>
          </w:p>
        </w:tc>
      </w:tr>
      <w:tr>
        <w:tc>
          <w:tcPr>
            <w:tcW w:type="dxa" w:w="5018"/>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Parametro</w:t>
            </w:r>
          </w:p>
        </w:tc>
        <w:tc>
          <w:tcPr>
            <w:tcW w:type="dxa" w:w="5018"/>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numero appreso e mantenuto nel modello</w:t>
            </w:r>
          </w:p>
        </w:tc>
      </w:tr>
      <w:tr>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Softmax</w:t>
            </w:r>
          </w:p>
        </w:tc>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normalizzazione esponenziale dei logit in una distribuzione</w:t>
            </w:r>
          </w:p>
        </w:tc>
      </w:tr>
      <w:tr>
        <w:tc>
          <w:tcPr>
            <w:tcW w:type="dxa" w:w="5018"/>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Token</w:t>
            </w:r>
          </w:p>
        </w:tc>
        <w:tc>
          <w:tcPr>
            <w:tcW w:type="dxa" w:w="5018"/>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unità discreta della sequenza elaborata</w:t>
            </w:r>
          </w:p>
        </w:tc>
      </w:tr>
      <w:tr>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Transformer</w:t>
            </w:r>
          </w:p>
        </w:tc>
        <w:tc>
          <w:tcPr>
            <w:tcW w:type="dxa" w:w="5018"/>
            <w:shd w:fill="FFFFFF"/>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architettura basata su self-attention e blocchi feed-forward</w:t>
            </w:r>
          </w:p>
        </w:tc>
      </w:tr>
      <w:tr>
        <w:tc>
          <w:tcPr>
            <w:tcW w:type="dxa" w:w="5018"/>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center"/>
            </w:pPr>
            <w:r>
              <w:rPr>
                <w:rFonts w:ascii="Inter" w:hAnsi="Inter"/>
                <w:b w:val="0"/>
                <w:i w:val="0"/>
                <w:color w:val="1C2633"/>
                <w:sz w:val="18"/>
              </w:rPr>
              <w:t>Weight</w:t>
            </w:r>
          </w:p>
        </w:tc>
        <w:tc>
          <w:tcPr>
            <w:tcW w:type="dxa" w:w="5018"/>
            <w:shd w:fill="F5F7FA"/>
            <w:tcBorders>
              <w:top w:val="single" w:sz="5" w:color="D8E1EC"/>
              <w:left w:val="single" w:sz="5" w:color="D8E1EC"/>
              <w:bottom w:val="single" w:sz="5" w:color="D8E1EC"/>
              <w:right w:val="single" w:sz="5" w:color="D8E1EC"/>
              <w:insideH w:val="single" w:sz="5" w:color="D8E1EC"/>
              <w:insideV w:val="single" w:sz="5" w:color="D8E1EC"/>
            </w:tcBorders>
            <w:tcMar>
              <w:top w:w="100" w:type="dxa"/>
              <w:start w:w="100" w:type="dxa"/>
              <w:bottom w:w="100" w:type="dxa"/>
              <w:end w:w="100" w:type="dxa"/>
            </w:tcMar>
            <w:vAlign w:val="center"/>
          </w:tcPr>
          <w:p>
            <w:pPr>
              <w:jc w:val="left"/>
            </w:pPr>
            <w:r>
              <w:rPr>
                <w:rFonts w:ascii="Inter" w:hAnsi="Inter"/>
                <w:b w:val="0"/>
                <w:i w:val="0"/>
                <w:color w:val="1C2633"/>
                <w:sz w:val="18"/>
              </w:rPr>
              <w:t>parametro moltiplicativo appreso; da distinguere dai coefficienti dinamici di attention</w:t>
            </w:r>
          </w:p>
        </w:tc>
      </w:tr>
    </w:tbl>
    <w:p>
      <w:pPr>
        <w:spacing w:after="40"/>
      </w:pPr>
    </w:p>
    <w:p>
      <w:pPr>
        <w:pageBreakBefore/>
        <w:spacing w:before="200" w:after="80"/>
      </w:pPr>
      <w:r>
        <w:rPr>
          <w:b/>
          <w:color w:val="1F4E78"/>
          <w:sz w:val="36"/>
        </w:rPr>
        <w:t>15  Banca di esempi didattici pronta per l’aula</w:t>
      </w:r>
    </w:p>
    <w:p>
      <w:pPr>
        <w:spacing w:before="0" w:after="160" w:line="259" w:lineRule="auto"/>
      </w:pPr>
      <w:r>
        <w:rPr>
          <w:b w:val="0"/>
          <w:i/>
          <w:color w:val="4B5563"/>
          <w:sz w:val="21"/>
        </w:rPr>
        <w:t>Esempi brevi, calcoli guidati e domande di mediazione per rendere visibili concetti che altrimenti restano astratti.</w:t>
      </w:r>
    </w:p>
    <w:tbl>
      <w:tblPr>
        <w:tblW w:type="auto" w:w="0"/>
        <w:jc w:val="center"/>
        <w:tblLayout w:type="autofit"/>
        <w:tblLook w:firstColumn="1" w:firstRow="1" w:lastColumn="0" w:lastRow="0" w:noHBand="0" w:noVBand="1" w:val="04A0"/>
      </w:tblPr>
      <w:tblGrid>
        <w:gridCol w:w="10036"/>
      </w:tblGrid>
      <w:tr>
        <w:tc>
          <w:tcPr>
            <w:tcW w:type="dxa" w:w="10036"/>
            <w:shd w:fill="1F4E78"/>
            <w:tcBorders>
              <w:top w:val="single" w:sz="8" w:color="1F4E78"/>
              <w:left w:val="single" w:sz="8" w:color="1F4E78"/>
              <w:bottom w:val="single" w:sz="8" w:color="1F4E78"/>
              <w:right w:val="single" w:sz="8" w:color="1F4E78"/>
            </w:tcBorders>
            <w:tcMar>
              <w:top w:w="90" w:type="dxa"/>
              <w:start w:w="130" w:type="dxa"/>
              <w:bottom w:w="90" w:type="dxa"/>
              <w:end w:w="130" w:type="dxa"/>
            </w:tcMar>
          </w:tcPr>
          <w:p>
            <w:pPr>
              <w:spacing w:after="0"/>
            </w:pPr>
            <w:r>
              <w:rPr>
                <w:b/>
                <w:color w:val="FFFFFF"/>
                <w:sz w:val="21"/>
              </w:rPr>
              <w:t>1. PESO - “Stesso dato, importanza diversa”</w:t>
            </w:r>
          </w:p>
        </w:tc>
      </w:tr>
      <w:tr>
        <w:tc>
          <w:tcPr>
            <w:tcW w:type="dxa" w:w="10036"/>
            <w:shd w:fill="EAF4FB"/>
            <w:tcBorders>
              <w:top w:val="single" w:sz="8" w:color="1F4E78"/>
              <w:left w:val="single" w:sz="8" w:color="1F4E78"/>
              <w:bottom w:val="single" w:sz="8" w:color="1F4E78"/>
              <w:right w:val="single" w:sz="8" w:color="1F4E78"/>
            </w:tcBorders>
            <w:tcMar>
              <w:top w:w="110" w:type="dxa"/>
              <w:start w:w="150" w:type="dxa"/>
              <w:bottom w:w="110" w:type="dxa"/>
              <w:end w:w="150" w:type="dxa"/>
            </w:tcMar>
          </w:tcPr>
          <w:p>
            <w:pPr>
              <w:spacing w:after="80"/>
            </w:pPr>
            <w:r>
              <w:rPr>
                <w:color w:val="1F2937"/>
                <w:sz w:val="20"/>
              </w:rPr>
              <w:t>Scrivere alla lavagna: x = 0,8. Calcolare 0,8×0,1; 0,8×1; 0,8×(-1). Chiedere: “È cambiato il dato o è cambiato il modo in cui la rete lo usa?”. La risposta corretta è la seconda.</w:t>
            </w:r>
          </w:p>
          <w:p>
            <w:pPr>
              <w:pStyle w:val="ListBullet"/>
              <w:spacing w:after="40"/>
            </w:pPr>
            <w:r>
              <w:rPr>
                <w:color w:val="1F2937"/>
                <w:sz w:val="19"/>
              </w:rPr>
              <w:t>Domanda guida: che cosa significa un peso vicino a zero?</w:t>
            </w:r>
          </w:p>
          <w:p>
            <w:pPr>
              <w:pStyle w:val="ListBullet"/>
              <w:spacing w:after="40"/>
            </w:pPr>
            <w:r>
              <w:rPr>
                <w:color w:val="1F2937"/>
                <w:sz w:val="19"/>
              </w:rPr>
              <w:t>Misconcezione da evitare: “peso” non è il peso fisico dell’informazione.</w:t>
            </w:r>
          </w:p>
        </w:tc>
      </w:tr>
    </w:tbl>
    <w:p>
      <w:pPr>
        <w:spacing w:before="0" w:after="40" w:line="259" w:lineRule="auto"/>
      </w:pPr>
      <w:r>
        <w:rPr>
          <w:b w:val="0"/>
          <w:i w:val="0"/>
          <w:color w:val="1F2937"/>
          <w:sz w:val="4"/>
        </w:rPr>
      </w:r>
    </w:p>
    <w:tbl>
      <w:tblPr>
        <w:tblW w:type="auto" w:w="0"/>
        <w:jc w:val="center"/>
        <w:tblLayout w:type="autofit"/>
        <w:tblLook w:firstColumn="1" w:firstRow="1" w:lastColumn="0" w:lastRow="0" w:noHBand="0" w:noVBand="1" w:val="04A0"/>
      </w:tblPr>
      <w:tblGrid>
        <w:gridCol w:w="10036"/>
      </w:tblGrid>
      <w:tr>
        <w:tc>
          <w:tcPr>
            <w:tcW w:type="dxa" w:w="10036"/>
            <w:shd w:fill="D97706"/>
            <w:tcBorders>
              <w:top w:val="single" w:sz="8" w:color="D97706"/>
              <w:left w:val="single" w:sz="8" w:color="D97706"/>
              <w:bottom w:val="single" w:sz="8" w:color="D97706"/>
              <w:right w:val="single" w:sz="8" w:color="D97706"/>
            </w:tcBorders>
            <w:tcMar>
              <w:top w:w="90" w:type="dxa"/>
              <w:start w:w="130" w:type="dxa"/>
              <w:bottom w:w="90" w:type="dxa"/>
              <w:end w:w="130" w:type="dxa"/>
            </w:tcMar>
          </w:tcPr>
          <w:p>
            <w:pPr>
              <w:spacing w:after="0"/>
            </w:pPr>
            <w:r>
              <w:rPr>
                <w:b/>
                <w:color w:val="FFFFFF"/>
                <w:sz w:val="21"/>
              </w:rPr>
              <w:t>2. BIAS - “La stessa evidenza, una soglia diversa”</w:t>
            </w:r>
          </w:p>
        </w:tc>
      </w:tr>
      <w:tr>
        <w:tc>
          <w:tcPr>
            <w:tcW w:type="dxa" w:w="10036"/>
            <w:shd w:fill="FFF4E5"/>
            <w:tcBorders>
              <w:top w:val="single" w:sz="8" w:color="D97706"/>
              <w:left w:val="single" w:sz="8" w:color="D97706"/>
              <w:bottom w:val="single" w:sz="8" w:color="D97706"/>
              <w:right w:val="single" w:sz="8" w:color="D97706"/>
            </w:tcBorders>
            <w:tcMar>
              <w:top w:w="110" w:type="dxa"/>
              <w:start w:w="150" w:type="dxa"/>
              <w:bottom w:w="110" w:type="dxa"/>
              <w:end w:w="150" w:type="dxa"/>
            </w:tcMar>
          </w:tcPr>
          <w:p>
            <w:pPr>
              <w:spacing w:after="80"/>
            </w:pPr>
            <w:r>
              <w:rPr>
                <w:color w:val="1F2937"/>
                <w:sz w:val="20"/>
              </w:rPr>
              <w:t>Usare z = x₁w₁+x₂w₂+b con somma ponderata pari a 1,2. Con b=-0,5 si ha z=0,7; con b=-1,5 si ha z=-0,3. Chiedere quale parametro ha modificato la predisposizione del neurone ad attivarsi.</w:t>
            </w:r>
          </w:p>
        </w:tc>
      </w:tr>
    </w:tbl>
    <w:p>
      <w:pPr>
        <w:spacing w:before="0" w:after="40" w:line="259" w:lineRule="auto"/>
      </w:pPr>
      <w:r>
        <w:rPr>
          <w:b w:val="0"/>
          <w:i w:val="0"/>
          <w:color w:val="1F2937"/>
          <w:sz w:val="4"/>
        </w:rPr>
      </w:r>
    </w:p>
    <w:tbl>
      <w:tblPr>
        <w:tblW w:type="auto" w:w="0"/>
        <w:jc w:val="center"/>
        <w:tblLayout w:type="autofit"/>
        <w:tblLook w:firstColumn="1" w:firstRow="1" w:lastColumn="0" w:lastRow="0" w:noHBand="0" w:noVBand="1" w:val="04A0"/>
      </w:tblPr>
      <w:tblGrid>
        <w:gridCol w:w="10036"/>
      </w:tblGrid>
      <w:tr>
        <w:tc>
          <w:tcPr>
            <w:tcW w:type="dxa" w:w="10036"/>
            <w:shd w:fill="0F766E"/>
            <w:tcBorders>
              <w:top w:val="single" w:sz="8" w:color="0F766E"/>
              <w:left w:val="single" w:sz="8" w:color="0F766E"/>
              <w:bottom w:val="single" w:sz="8" w:color="0F766E"/>
              <w:right w:val="single" w:sz="8" w:color="0F766E"/>
            </w:tcBorders>
            <w:tcMar>
              <w:top w:w="90" w:type="dxa"/>
              <w:start w:w="130" w:type="dxa"/>
              <w:bottom w:w="90" w:type="dxa"/>
              <w:end w:w="130" w:type="dxa"/>
            </w:tcMar>
          </w:tcPr>
          <w:p>
            <w:pPr>
              <w:spacing w:after="0"/>
            </w:pPr>
            <w:r>
              <w:rPr>
                <w:b/>
                <w:color w:val="FFFFFF"/>
                <w:sz w:val="21"/>
              </w:rPr>
              <w:t>3. ATTIVAZIONE - “Non basta sommare”</w:t>
            </w:r>
          </w:p>
        </w:tc>
      </w:tr>
      <w:tr>
        <w:tc>
          <w:tcPr>
            <w:tcW w:type="dxa" w:w="10036"/>
            <w:shd w:fill="E8F7F5"/>
            <w:tcBorders>
              <w:top w:val="single" w:sz="8" w:color="0F766E"/>
              <w:left w:val="single" w:sz="8" w:color="0F766E"/>
              <w:bottom w:val="single" w:sz="8" w:color="0F766E"/>
              <w:right w:val="single" w:sz="8" w:color="0F766E"/>
            </w:tcBorders>
            <w:tcMar>
              <w:top w:w="110" w:type="dxa"/>
              <w:start w:w="150" w:type="dxa"/>
              <w:bottom w:w="110" w:type="dxa"/>
              <w:end w:w="150" w:type="dxa"/>
            </w:tcMar>
          </w:tcPr>
          <w:p>
            <w:pPr>
              <w:spacing w:after="80"/>
            </w:pPr>
            <w:r>
              <w:rPr>
                <w:color w:val="1F2937"/>
                <w:sz w:val="20"/>
              </w:rPr>
              <w:t>Mostrare z=-2, 0, 2 e confrontare ReLU e Sigmoid. Far verbalizzare: ReLU azzera i negativi; Sigmoid comprime tutto tra 0 e 1. Questo prepara l’idea che la non linearità permette alle reti profonde di rappresentare funzioni più complesse.</w:t>
            </w:r>
          </w:p>
        </w:tc>
      </w:tr>
    </w:tbl>
    <w:p>
      <w:pPr>
        <w:spacing w:before="0" w:after="40" w:line="259" w:lineRule="auto"/>
      </w:pPr>
      <w:r>
        <w:rPr>
          <w:b w:val="0"/>
          <w:i w:val="0"/>
          <w:color w:val="1F2937"/>
          <w:sz w:val="4"/>
        </w:rPr>
      </w:r>
    </w:p>
    <w:p>
      <w:pPr>
        <w:pageBreakBefore/>
        <w:spacing w:before="200" w:after="80"/>
      </w:pPr>
      <w:r>
        <w:rPr>
          <w:b/>
          <w:color w:val="1F4E78"/>
          <w:sz w:val="36"/>
        </w:rPr>
        <w:t>15.1  AND e XOR: sequenza didattica consigliata</w:t>
      </w:r>
    </w:p>
    <w:p>
      <w:pPr>
        <w:spacing w:before="0" w:after="160" w:line="259" w:lineRule="auto"/>
      </w:pPr>
      <w:r>
        <w:rPr>
          <w:b w:val="0"/>
          <w:i/>
          <w:color w:val="4B5563"/>
          <w:sz w:val="21"/>
        </w:rPr>
        <w:t>Far predire sempre il risultato prima di mostrare il calcolo.</w:t>
      </w:r>
    </w:p>
    <w:tbl>
      <w:tblPr>
        <w:tblStyle w:val="TableGrid"/>
        <w:tblW w:type="auto" w:w="0"/>
        <w:jc w:val="center"/>
        <w:tblLook w:firstColumn="1" w:firstRow="1" w:lastColumn="0" w:lastRow="0" w:noHBand="0" w:noVBand="1" w:val="04A0"/>
      </w:tblPr>
      <w:tblGrid>
        <w:gridCol w:w="3345"/>
        <w:gridCol w:w="3345"/>
        <w:gridCol w:w="3345"/>
      </w:tblGrid>
      <w:tr>
        <w:tc>
          <w:tcPr>
            <w:tcW w:type="dxa" w:w="1440"/>
            <w:shd w:fill="287A44"/>
            <w:tcMar>
              <w:top w:w="70" w:type="dxa"/>
              <w:start w:w="90" w:type="dxa"/>
              <w:bottom w:w="70" w:type="dxa"/>
              <w:end w:w="90" w:type="dxa"/>
            </w:tcMar>
            <w:vAlign w:val="center"/>
          </w:tcPr>
          <w:p>
            <w:pPr>
              <w:jc w:val="center"/>
            </w:pPr>
            <w:r>
              <w:rPr>
                <w:b/>
                <w:color w:val="FFFFFF"/>
                <w:sz w:val="18"/>
              </w:rPr>
              <w:t>Caso</w:t>
            </w:r>
          </w:p>
        </w:tc>
        <w:tc>
          <w:tcPr>
            <w:tcW w:type="dxa" w:w="4320"/>
            <w:shd w:fill="287A44"/>
            <w:tcMar>
              <w:top w:w="70" w:type="dxa"/>
              <w:start w:w="90" w:type="dxa"/>
              <w:bottom w:w="70" w:type="dxa"/>
              <w:end w:w="90" w:type="dxa"/>
            </w:tcMar>
            <w:vAlign w:val="center"/>
          </w:tcPr>
          <w:p>
            <w:pPr>
              <w:jc w:val="center"/>
            </w:pPr>
            <w:r>
              <w:rPr>
                <w:b/>
                <w:color w:val="FFFFFF"/>
                <w:sz w:val="18"/>
              </w:rPr>
              <w:t>AND: z=x₁+x₂-1,5</w:t>
            </w:r>
          </w:p>
        </w:tc>
        <w:tc>
          <w:tcPr>
            <w:tcW w:type="dxa" w:w="1440"/>
            <w:shd w:fill="287A44"/>
            <w:tcMar>
              <w:top w:w="70" w:type="dxa"/>
              <w:start w:w="90" w:type="dxa"/>
              <w:bottom w:w="70" w:type="dxa"/>
              <w:end w:w="90" w:type="dxa"/>
            </w:tcMar>
            <w:vAlign w:val="center"/>
          </w:tcPr>
          <w:p>
            <w:pPr>
              <w:jc w:val="center"/>
            </w:pPr>
            <w:r>
              <w:rPr>
                <w:b/>
                <w:color w:val="FFFFFF"/>
                <w:sz w:val="18"/>
              </w:rPr>
              <w:t>Output</w:t>
            </w:r>
          </w:p>
        </w:tc>
      </w:tr>
      <w:tr>
        <w:tc>
          <w:tcPr>
            <w:tcW w:type="dxa" w:w="1440"/>
            <w:tcMar>
              <w:top w:w="70" w:type="dxa"/>
              <w:start w:w="90" w:type="dxa"/>
              <w:bottom w:w="70" w:type="dxa"/>
              <w:end w:w="90" w:type="dxa"/>
            </w:tcMar>
            <w:vAlign w:val="center"/>
          </w:tcPr>
          <w:p>
            <w:pPr>
              <w:jc w:val="center"/>
            </w:pPr>
            <w:r>
              <w:rPr>
                <w:color w:val="1F2937"/>
                <w:sz w:val="18"/>
              </w:rPr>
              <w:t>0,0</w:t>
            </w:r>
          </w:p>
        </w:tc>
        <w:tc>
          <w:tcPr>
            <w:tcW w:type="dxa" w:w="4320"/>
            <w:tcMar>
              <w:top w:w="70" w:type="dxa"/>
              <w:start w:w="90" w:type="dxa"/>
              <w:bottom w:w="70" w:type="dxa"/>
              <w:end w:w="90" w:type="dxa"/>
            </w:tcMar>
            <w:vAlign w:val="center"/>
          </w:tcPr>
          <w:p>
            <w:pPr>
              <w:jc w:val="center"/>
            </w:pPr>
            <w:r>
              <w:rPr>
                <w:color w:val="1F2937"/>
                <w:sz w:val="18"/>
              </w:rPr>
              <w:t>-1,5</w:t>
            </w:r>
          </w:p>
        </w:tc>
        <w:tc>
          <w:tcPr>
            <w:tcW w:type="dxa" w:w="1440"/>
            <w:tcMar>
              <w:top w:w="70" w:type="dxa"/>
              <w:start w:w="90" w:type="dxa"/>
              <w:bottom w:w="70" w:type="dxa"/>
              <w:end w:w="90" w:type="dxa"/>
            </w:tcMar>
            <w:vAlign w:val="center"/>
          </w:tcPr>
          <w:p>
            <w:pPr>
              <w:jc w:val="center"/>
            </w:pPr>
            <w:r>
              <w:rPr>
                <w:color w:val="1F2937"/>
                <w:sz w:val="18"/>
              </w:rPr>
              <w:t>0</w:t>
            </w:r>
          </w:p>
        </w:tc>
      </w:tr>
      <w:tr>
        <w:tc>
          <w:tcPr>
            <w:tcW w:type="dxa" w:w="1440"/>
            <w:tcMar>
              <w:top w:w="70" w:type="dxa"/>
              <w:start w:w="90" w:type="dxa"/>
              <w:bottom w:w="70" w:type="dxa"/>
              <w:end w:w="90" w:type="dxa"/>
            </w:tcMar>
            <w:vAlign w:val="center"/>
            <w:shd w:fill="F8FAFC"/>
          </w:tcPr>
          <w:p>
            <w:pPr>
              <w:jc w:val="center"/>
            </w:pPr>
            <w:r>
              <w:rPr>
                <w:color w:val="1F2937"/>
                <w:sz w:val="18"/>
              </w:rPr>
              <w:t>0,1</w:t>
            </w:r>
          </w:p>
        </w:tc>
        <w:tc>
          <w:tcPr>
            <w:tcW w:type="dxa" w:w="4320"/>
            <w:tcMar>
              <w:top w:w="70" w:type="dxa"/>
              <w:start w:w="90" w:type="dxa"/>
              <w:bottom w:w="70" w:type="dxa"/>
              <w:end w:w="90" w:type="dxa"/>
            </w:tcMar>
            <w:vAlign w:val="center"/>
            <w:shd w:fill="F8FAFC"/>
          </w:tcPr>
          <w:p>
            <w:pPr>
              <w:jc w:val="center"/>
            </w:pPr>
            <w:r>
              <w:rPr>
                <w:color w:val="1F2937"/>
                <w:sz w:val="18"/>
              </w:rPr>
              <w:t>-0,5</w:t>
            </w:r>
          </w:p>
        </w:tc>
        <w:tc>
          <w:tcPr>
            <w:tcW w:type="dxa" w:w="1440"/>
            <w:tcMar>
              <w:top w:w="70" w:type="dxa"/>
              <w:start w:w="90" w:type="dxa"/>
              <w:bottom w:w="70" w:type="dxa"/>
              <w:end w:w="90" w:type="dxa"/>
            </w:tcMar>
            <w:vAlign w:val="center"/>
            <w:shd w:fill="F8FAFC"/>
          </w:tcPr>
          <w:p>
            <w:pPr>
              <w:jc w:val="center"/>
            </w:pPr>
            <w:r>
              <w:rPr>
                <w:color w:val="1F2937"/>
                <w:sz w:val="18"/>
              </w:rPr>
              <w:t>0</w:t>
            </w:r>
          </w:p>
        </w:tc>
      </w:tr>
      <w:tr>
        <w:tc>
          <w:tcPr>
            <w:tcW w:type="dxa" w:w="1440"/>
            <w:tcMar>
              <w:top w:w="70" w:type="dxa"/>
              <w:start w:w="90" w:type="dxa"/>
              <w:bottom w:w="70" w:type="dxa"/>
              <w:end w:w="90" w:type="dxa"/>
            </w:tcMar>
            <w:vAlign w:val="center"/>
          </w:tcPr>
          <w:p>
            <w:pPr>
              <w:jc w:val="center"/>
            </w:pPr>
            <w:r>
              <w:rPr>
                <w:color w:val="1F2937"/>
                <w:sz w:val="18"/>
              </w:rPr>
              <w:t>1,0</w:t>
            </w:r>
          </w:p>
        </w:tc>
        <w:tc>
          <w:tcPr>
            <w:tcW w:type="dxa" w:w="4320"/>
            <w:tcMar>
              <w:top w:w="70" w:type="dxa"/>
              <w:start w:w="90" w:type="dxa"/>
              <w:bottom w:w="70" w:type="dxa"/>
              <w:end w:w="90" w:type="dxa"/>
            </w:tcMar>
            <w:vAlign w:val="center"/>
          </w:tcPr>
          <w:p>
            <w:pPr>
              <w:jc w:val="center"/>
            </w:pPr>
            <w:r>
              <w:rPr>
                <w:color w:val="1F2937"/>
                <w:sz w:val="18"/>
              </w:rPr>
              <w:t>-0,5</w:t>
            </w:r>
          </w:p>
        </w:tc>
        <w:tc>
          <w:tcPr>
            <w:tcW w:type="dxa" w:w="1440"/>
            <w:tcMar>
              <w:top w:w="70" w:type="dxa"/>
              <w:start w:w="90" w:type="dxa"/>
              <w:bottom w:w="70" w:type="dxa"/>
              <w:end w:w="90" w:type="dxa"/>
            </w:tcMar>
            <w:vAlign w:val="center"/>
          </w:tcPr>
          <w:p>
            <w:pPr>
              <w:jc w:val="center"/>
            </w:pPr>
            <w:r>
              <w:rPr>
                <w:color w:val="1F2937"/>
                <w:sz w:val="18"/>
              </w:rPr>
              <w:t>0</w:t>
            </w:r>
          </w:p>
        </w:tc>
      </w:tr>
      <w:tr>
        <w:tc>
          <w:tcPr>
            <w:tcW w:type="dxa" w:w="1440"/>
            <w:tcMar>
              <w:top w:w="70" w:type="dxa"/>
              <w:start w:w="90" w:type="dxa"/>
              <w:bottom w:w="70" w:type="dxa"/>
              <w:end w:w="90" w:type="dxa"/>
            </w:tcMar>
            <w:vAlign w:val="center"/>
            <w:shd w:fill="F8FAFC"/>
          </w:tcPr>
          <w:p>
            <w:pPr>
              <w:jc w:val="center"/>
            </w:pPr>
            <w:r>
              <w:rPr>
                <w:color w:val="1F2937"/>
                <w:sz w:val="18"/>
              </w:rPr>
              <w:t>1,1</w:t>
            </w:r>
          </w:p>
        </w:tc>
        <w:tc>
          <w:tcPr>
            <w:tcW w:type="dxa" w:w="4320"/>
            <w:tcMar>
              <w:top w:w="70" w:type="dxa"/>
              <w:start w:w="90" w:type="dxa"/>
              <w:bottom w:w="70" w:type="dxa"/>
              <w:end w:w="90" w:type="dxa"/>
            </w:tcMar>
            <w:vAlign w:val="center"/>
            <w:shd w:fill="F8FAFC"/>
          </w:tcPr>
          <w:p>
            <w:pPr>
              <w:jc w:val="center"/>
            </w:pPr>
            <w:r>
              <w:rPr>
                <w:color w:val="1F2937"/>
                <w:sz w:val="18"/>
              </w:rPr>
              <w:t>+0,5</w:t>
            </w:r>
          </w:p>
        </w:tc>
        <w:tc>
          <w:tcPr>
            <w:tcW w:type="dxa" w:w="1440"/>
            <w:tcMar>
              <w:top w:w="70" w:type="dxa"/>
              <w:start w:w="90" w:type="dxa"/>
              <w:bottom w:w="70" w:type="dxa"/>
              <w:end w:w="90" w:type="dxa"/>
            </w:tcMar>
            <w:vAlign w:val="center"/>
            <w:shd w:fill="F8FAFC"/>
          </w:tcPr>
          <w:p>
            <w:pPr>
              <w:jc w:val="center"/>
            </w:pPr>
            <w:r>
              <w:rPr>
                <w:color w:val="1F2937"/>
                <w:sz w:val="18"/>
              </w:rPr>
              <w:t>1</w:t>
            </w:r>
          </w:p>
        </w:tc>
      </w:tr>
    </w:tbl>
    <w:p>
      <w:pPr>
        <w:spacing w:before="0" w:after="40" w:line="259" w:lineRule="auto"/>
      </w:pPr>
      <w:r>
        <w:rPr>
          <w:b w:val="0"/>
          <w:i w:val="0"/>
          <w:color w:val="1F2937"/>
          <w:sz w:val="4"/>
        </w:rPr>
      </w:r>
    </w:p>
    <w:tbl>
      <w:tblPr>
        <w:tblW w:type="auto" w:w="0"/>
        <w:jc w:val="center"/>
        <w:tblLayout w:type="autofit"/>
        <w:tblLook w:firstColumn="1" w:firstRow="1" w:lastColumn="0" w:lastRow="0" w:noHBand="0" w:noVBand="1" w:val="04A0"/>
      </w:tblPr>
      <w:tblGrid>
        <w:gridCol w:w="10036"/>
      </w:tblGrid>
      <w:tr>
        <w:tc>
          <w:tcPr>
            <w:tcW w:type="dxa" w:w="10036"/>
            <w:shd w:fill="287A44"/>
            <w:tcBorders>
              <w:top w:val="single" w:sz="8" w:color="287A44"/>
              <w:left w:val="single" w:sz="8" w:color="287A44"/>
              <w:bottom w:val="single" w:sz="8" w:color="287A44"/>
              <w:right w:val="single" w:sz="8" w:color="287A44"/>
            </w:tcBorders>
            <w:tcMar>
              <w:top w:w="90" w:type="dxa"/>
              <w:start w:w="130" w:type="dxa"/>
              <w:bottom w:w="90" w:type="dxa"/>
              <w:end w:w="130" w:type="dxa"/>
            </w:tcMar>
          </w:tcPr>
          <w:p>
            <w:pPr>
              <w:spacing w:after="0"/>
            </w:pPr>
            <w:r>
              <w:rPr>
                <w:b/>
                <w:color w:val="FFFFFF"/>
                <w:sz w:val="21"/>
              </w:rPr>
              <w:t>Perché AND è didatticamente utile</w:t>
            </w:r>
          </w:p>
        </w:tc>
      </w:tr>
      <w:tr>
        <w:tc>
          <w:tcPr>
            <w:tcW w:type="dxa" w:w="10036"/>
            <w:shd w:fill="EAF7EE"/>
            <w:tcBorders>
              <w:top w:val="single" w:sz="8" w:color="287A44"/>
              <w:left w:val="single" w:sz="8" w:color="287A44"/>
              <w:bottom w:val="single" w:sz="8" w:color="287A44"/>
              <w:right w:val="single" w:sz="8" w:color="287A44"/>
            </w:tcBorders>
            <w:tcMar>
              <w:top w:w="110" w:type="dxa"/>
              <w:start w:w="150" w:type="dxa"/>
              <w:bottom w:w="110" w:type="dxa"/>
              <w:end w:w="150" w:type="dxa"/>
            </w:tcMar>
          </w:tcPr>
          <w:p>
            <w:pPr>
              <w:spacing w:after="80"/>
            </w:pPr>
            <w:r>
              <w:rPr>
                <w:color w:val="1F2937"/>
                <w:sz w:val="20"/>
              </w:rPr>
              <w:t>Con soli due pesi e un bias si vede una regola completa. Cambiando soltanto il bias da -1,5 a -0,5, la stessa struttura diventa OR. È un modo molto efficace per mostrare che i parametri definiscono il comportamento della rete.</w:t>
            </w:r>
          </w:p>
        </w:tc>
      </w:tr>
    </w:tbl>
    <w:p>
      <w:pPr>
        <w:spacing w:before="0" w:after="40" w:line="259" w:lineRule="auto"/>
      </w:pPr>
      <w:r>
        <w:rPr>
          <w:b w:val="0"/>
          <w:i w:val="0"/>
          <w:color w:val="1F2937"/>
          <w:sz w:val="4"/>
        </w:rPr>
      </w:r>
    </w:p>
    <w:tbl>
      <w:tblPr>
        <w:tblW w:type="auto" w:w="0"/>
        <w:jc w:val="center"/>
        <w:tblLayout w:type="autofit"/>
        <w:tblLook w:firstColumn="1" w:firstRow="1" w:lastColumn="0" w:lastRow="0" w:noHBand="0" w:noVBand="1" w:val="04A0"/>
      </w:tblPr>
      <w:tblGrid>
        <w:gridCol w:w="10036"/>
      </w:tblGrid>
      <w:tr>
        <w:tc>
          <w:tcPr>
            <w:tcW w:type="dxa" w:w="10036"/>
            <w:shd w:fill="6D28D9"/>
            <w:tcBorders>
              <w:top w:val="single" w:sz="8" w:color="6D28D9"/>
              <w:left w:val="single" w:sz="8" w:color="6D28D9"/>
              <w:bottom w:val="single" w:sz="8" w:color="6D28D9"/>
              <w:right w:val="single" w:sz="8" w:color="6D28D9"/>
            </w:tcBorders>
            <w:tcMar>
              <w:top w:w="90" w:type="dxa"/>
              <w:start w:w="130" w:type="dxa"/>
              <w:bottom w:w="90" w:type="dxa"/>
              <w:end w:w="130" w:type="dxa"/>
            </w:tcMar>
          </w:tcPr>
          <w:p>
            <w:pPr>
              <w:spacing w:after="0"/>
            </w:pPr>
            <w:r>
              <w:rPr>
                <w:b/>
                <w:color w:val="FFFFFF"/>
                <w:sz w:val="21"/>
              </w:rPr>
              <w:t>XOR - la frase da usare</w:t>
            </w:r>
          </w:p>
        </w:tc>
      </w:tr>
      <w:tr>
        <w:tc>
          <w:tcPr>
            <w:tcW w:type="dxa" w:w="10036"/>
            <w:shd w:fill="F1ECFE"/>
            <w:tcBorders>
              <w:top w:val="single" w:sz="8" w:color="6D28D9"/>
              <w:left w:val="single" w:sz="8" w:color="6D28D9"/>
              <w:bottom w:val="single" w:sz="8" w:color="6D28D9"/>
              <w:right w:val="single" w:sz="8" w:color="6D28D9"/>
            </w:tcBorders>
            <w:tcMar>
              <w:top w:w="110" w:type="dxa"/>
              <w:start w:w="150" w:type="dxa"/>
              <w:bottom w:w="110" w:type="dxa"/>
              <w:end w:w="150" w:type="dxa"/>
            </w:tcMar>
          </w:tcPr>
          <w:p>
            <w:pPr>
              <w:spacing w:after="80"/>
            </w:pPr>
            <w:r>
              <w:rPr>
                <w:color w:val="1F2937"/>
                <w:sz w:val="20"/>
              </w:rPr>
              <w:t>“Un solo neurone può tracciare una sola frontiera lineare. XOR richiede di ricodificare prima il problema.” Poi costruire h₁=OR e h₂=NAND e infine AND(h₁,h₂). Il punto non è la porta logica in sé: è mostrare che uno strato nascosto crea rappresentazioni intermedie utili.</w:t>
            </w:r>
          </w:p>
        </w:tc>
      </w:tr>
    </w:tbl>
    <w:p>
      <w:pPr>
        <w:spacing w:before="0" w:after="40" w:line="259" w:lineRule="auto"/>
      </w:pPr>
      <w:r>
        <w:rPr>
          <w:b w:val="0"/>
          <w:i w:val="0"/>
          <w:color w:val="1F2937"/>
          <w:sz w:val="4"/>
        </w:rPr>
      </w:r>
    </w:p>
    <w:tbl>
      <w:tblPr>
        <w:tblStyle w:val="TableGrid"/>
        <w:tblW w:type="auto" w:w="0"/>
        <w:jc w:val="center"/>
        <w:tblLook w:firstColumn="1" w:firstRow="1" w:lastColumn="0" w:lastRow="0" w:noHBand="0" w:noVBand="1" w:val="04A0"/>
      </w:tblPr>
      <w:tblGrid>
        <w:gridCol w:w="2007"/>
        <w:gridCol w:w="2007"/>
        <w:gridCol w:w="2007"/>
        <w:gridCol w:w="2007"/>
        <w:gridCol w:w="2007"/>
      </w:tblGrid>
      <w:tr>
        <w:tc>
          <w:tcPr>
            <w:tcW w:type="dxa" w:w="1008"/>
            <w:shd w:fill="6D28D9"/>
            <w:tcMar>
              <w:top w:w="70" w:type="dxa"/>
              <w:start w:w="90" w:type="dxa"/>
              <w:bottom w:w="70" w:type="dxa"/>
              <w:end w:w="90" w:type="dxa"/>
            </w:tcMar>
            <w:vAlign w:val="center"/>
          </w:tcPr>
          <w:p>
            <w:pPr>
              <w:jc w:val="center"/>
            </w:pPr>
            <w:r>
              <w:rPr>
                <w:b/>
                <w:color w:val="FFFFFF"/>
                <w:sz w:val="18"/>
              </w:rPr>
              <w:t>x₁</w:t>
            </w:r>
          </w:p>
        </w:tc>
        <w:tc>
          <w:tcPr>
            <w:tcW w:type="dxa" w:w="1008"/>
            <w:shd w:fill="6D28D9"/>
            <w:tcMar>
              <w:top w:w="70" w:type="dxa"/>
              <w:start w:w="90" w:type="dxa"/>
              <w:bottom w:w="70" w:type="dxa"/>
              <w:end w:w="90" w:type="dxa"/>
            </w:tcMar>
            <w:vAlign w:val="center"/>
          </w:tcPr>
          <w:p>
            <w:pPr>
              <w:jc w:val="center"/>
            </w:pPr>
            <w:r>
              <w:rPr>
                <w:b/>
                <w:color w:val="FFFFFF"/>
                <w:sz w:val="18"/>
              </w:rPr>
              <w:t>x₂</w:t>
            </w:r>
          </w:p>
        </w:tc>
        <w:tc>
          <w:tcPr>
            <w:tcW w:type="dxa" w:w="1296"/>
            <w:shd w:fill="6D28D9"/>
            <w:tcMar>
              <w:top w:w="70" w:type="dxa"/>
              <w:start w:w="90" w:type="dxa"/>
              <w:bottom w:w="70" w:type="dxa"/>
              <w:end w:w="90" w:type="dxa"/>
            </w:tcMar>
            <w:vAlign w:val="center"/>
          </w:tcPr>
          <w:p>
            <w:pPr>
              <w:jc w:val="center"/>
            </w:pPr>
            <w:r>
              <w:rPr>
                <w:b/>
                <w:color w:val="FFFFFF"/>
                <w:sz w:val="18"/>
              </w:rPr>
              <w:t>OR</w:t>
            </w:r>
          </w:p>
        </w:tc>
        <w:tc>
          <w:tcPr>
            <w:tcW w:type="dxa" w:w="1440"/>
            <w:shd w:fill="6D28D9"/>
            <w:tcMar>
              <w:top w:w="70" w:type="dxa"/>
              <w:start w:w="90" w:type="dxa"/>
              <w:bottom w:w="70" w:type="dxa"/>
              <w:end w:w="90" w:type="dxa"/>
            </w:tcMar>
            <w:vAlign w:val="center"/>
          </w:tcPr>
          <w:p>
            <w:pPr>
              <w:jc w:val="center"/>
            </w:pPr>
            <w:r>
              <w:rPr>
                <w:b/>
                <w:color w:val="FFFFFF"/>
                <w:sz w:val="18"/>
              </w:rPr>
              <w:t>NAND</w:t>
            </w:r>
          </w:p>
        </w:tc>
        <w:tc>
          <w:tcPr>
            <w:tcW w:type="dxa" w:w="1440"/>
            <w:shd w:fill="6D28D9"/>
            <w:tcMar>
              <w:top w:w="70" w:type="dxa"/>
              <w:start w:w="90" w:type="dxa"/>
              <w:bottom w:w="70" w:type="dxa"/>
              <w:end w:w="90" w:type="dxa"/>
            </w:tcMar>
            <w:vAlign w:val="center"/>
          </w:tcPr>
          <w:p>
            <w:pPr>
              <w:jc w:val="center"/>
            </w:pPr>
            <w:r>
              <w:rPr>
                <w:b/>
                <w:color w:val="FFFFFF"/>
                <w:sz w:val="18"/>
              </w:rPr>
              <w:t>XOR</w:t>
            </w:r>
          </w:p>
        </w:tc>
      </w:tr>
      <w:tr>
        <w:tc>
          <w:tcPr>
            <w:tcW w:type="dxa" w:w="1008"/>
            <w:tcMar>
              <w:top w:w="70" w:type="dxa"/>
              <w:start w:w="90" w:type="dxa"/>
              <w:bottom w:w="70" w:type="dxa"/>
              <w:end w:w="90" w:type="dxa"/>
            </w:tcMar>
            <w:vAlign w:val="center"/>
          </w:tcPr>
          <w:p>
            <w:pPr>
              <w:jc w:val="center"/>
            </w:pPr>
            <w:r>
              <w:rPr>
                <w:color w:val="1F2937"/>
                <w:sz w:val="18"/>
              </w:rPr>
              <w:t>0</w:t>
            </w:r>
          </w:p>
        </w:tc>
        <w:tc>
          <w:tcPr>
            <w:tcW w:type="dxa" w:w="1008"/>
            <w:tcMar>
              <w:top w:w="70" w:type="dxa"/>
              <w:start w:w="90" w:type="dxa"/>
              <w:bottom w:w="70" w:type="dxa"/>
              <w:end w:w="90" w:type="dxa"/>
            </w:tcMar>
            <w:vAlign w:val="center"/>
          </w:tcPr>
          <w:p>
            <w:pPr>
              <w:jc w:val="center"/>
            </w:pPr>
            <w:r>
              <w:rPr>
                <w:color w:val="1F2937"/>
                <w:sz w:val="18"/>
              </w:rPr>
              <w:t>0</w:t>
            </w:r>
          </w:p>
        </w:tc>
        <w:tc>
          <w:tcPr>
            <w:tcW w:type="dxa" w:w="1296"/>
            <w:tcMar>
              <w:top w:w="70" w:type="dxa"/>
              <w:start w:w="90" w:type="dxa"/>
              <w:bottom w:w="70" w:type="dxa"/>
              <w:end w:w="90" w:type="dxa"/>
            </w:tcMar>
            <w:vAlign w:val="center"/>
          </w:tcPr>
          <w:p>
            <w:pPr>
              <w:jc w:val="center"/>
            </w:pPr>
            <w:r>
              <w:rPr>
                <w:color w:val="1F2937"/>
                <w:sz w:val="18"/>
              </w:rPr>
              <w:t>0</w:t>
            </w:r>
          </w:p>
        </w:tc>
        <w:tc>
          <w:tcPr>
            <w:tcW w:type="dxa" w:w="1440"/>
            <w:tcMar>
              <w:top w:w="70" w:type="dxa"/>
              <w:start w:w="90" w:type="dxa"/>
              <w:bottom w:w="70" w:type="dxa"/>
              <w:end w:w="90" w:type="dxa"/>
            </w:tcMar>
            <w:vAlign w:val="center"/>
          </w:tcPr>
          <w:p>
            <w:pPr>
              <w:jc w:val="center"/>
            </w:pPr>
            <w:r>
              <w:rPr>
                <w:color w:val="1F2937"/>
                <w:sz w:val="18"/>
              </w:rPr>
              <w:t>1</w:t>
            </w:r>
          </w:p>
        </w:tc>
        <w:tc>
          <w:tcPr>
            <w:tcW w:type="dxa" w:w="1440"/>
            <w:tcMar>
              <w:top w:w="70" w:type="dxa"/>
              <w:start w:w="90" w:type="dxa"/>
              <w:bottom w:w="70" w:type="dxa"/>
              <w:end w:w="90" w:type="dxa"/>
            </w:tcMar>
            <w:vAlign w:val="center"/>
          </w:tcPr>
          <w:p>
            <w:pPr>
              <w:jc w:val="center"/>
            </w:pPr>
            <w:r>
              <w:rPr>
                <w:color w:val="1F2937"/>
                <w:sz w:val="18"/>
              </w:rPr>
              <w:t>0</w:t>
            </w:r>
          </w:p>
        </w:tc>
      </w:tr>
      <w:tr>
        <w:tc>
          <w:tcPr>
            <w:tcW w:type="dxa" w:w="1008"/>
            <w:tcMar>
              <w:top w:w="70" w:type="dxa"/>
              <w:start w:w="90" w:type="dxa"/>
              <w:bottom w:w="70" w:type="dxa"/>
              <w:end w:w="90" w:type="dxa"/>
            </w:tcMar>
            <w:vAlign w:val="center"/>
            <w:shd w:fill="F8FAFC"/>
          </w:tcPr>
          <w:p>
            <w:pPr>
              <w:jc w:val="center"/>
            </w:pPr>
            <w:r>
              <w:rPr>
                <w:color w:val="1F2937"/>
                <w:sz w:val="18"/>
              </w:rPr>
              <w:t>0</w:t>
            </w:r>
          </w:p>
        </w:tc>
        <w:tc>
          <w:tcPr>
            <w:tcW w:type="dxa" w:w="1008"/>
            <w:tcMar>
              <w:top w:w="70" w:type="dxa"/>
              <w:start w:w="90" w:type="dxa"/>
              <w:bottom w:w="70" w:type="dxa"/>
              <w:end w:w="90" w:type="dxa"/>
            </w:tcMar>
            <w:vAlign w:val="center"/>
            <w:shd w:fill="F8FAFC"/>
          </w:tcPr>
          <w:p>
            <w:pPr>
              <w:jc w:val="center"/>
            </w:pPr>
            <w:r>
              <w:rPr>
                <w:color w:val="1F2937"/>
                <w:sz w:val="18"/>
              </w:rPr>
              <w:t>1</w:t>
            </w:r>
          </w:p>
        </w:tc>
        <w:tc>
          <w:tcPr>
            <w:tcW w:type="dxa" w:w="1296"/>
            <w:tcMar>
              <w:top w:w="70" w:type="dxa"/>
              <w:start w:w="90" w:type="dxa"/>
              <w:bottom w:w="70" w:type="dxa"/>
              <w:end w:w="90" w:type="dxa"/>
            </w:tcMar>
            <w:vAlign w:val="center"/>
            <w:shd w:fill="F8FAFC"/>
          </w:tcPr>
          <w:p>
            <w:pPr>
              <w:jc w:val="center"/>
            </w:pPr>
            <w:r>
              <w:rPr>
                <w:color w:val="1F2937"/>
                <w:sz w:val="18"/>
              </w:rPr>
              <w:t>1</w:t>
            </w:r>
          </w:p>
        </w:tc>
        <w:tc>
          <w:tcPr>
            <w:tcW w:type="dxa" w:w="1440"/>
            <w:tcMar>
              <w:top w:w="70" w:type="dxa"/>
              <w:start w:w="90" w:type="dxa"/>
              <w:bottom w:w="70" w:type="dxa"/>
              <w:end w:w="90" w:type="dxa"/>
            </w:tcMar>
            <w:vAlign w:val="center"/>
            <w:shd w:fill="F8FAFC"/>
          </w:tcPr>
          <w:p>
            <w:pPr>
              <w:jc w:val="center"/>
            </w:pPr>
            <w:r>
              <w:rPr>
                <w:color w:val="1F2937"/>
                <w:sz w:val="18"/>
              </w:rPr>
              <w:t>1</w:t>
            </w:r>
          </w:p>
        </w:tc>
        <w:tc>
          <w:tcPr>
            <w:tcW w:type="dxa" w:w="1440"/>
            <w:tcMar>
              <w:top w:w="70" w:type="dxa"/>
              <w:start w:w="90" w:type="dxa"/>
              <w:bottom w:w="70" w:type="dxa"/>
              <w:end w:w="90" w:type="dxa"/>
            </w:tcMar>
            <w:vAlign w:val="center"/>
            <w:shd w:fill="F8FAFC"/>
          </w:tcPr>
          <w:p>
            <w:pPr>
              <w:jc w:val="center"/>
            </w:pPr>
            <w:r>
              <w:rPr>
                <w:color w:val="1F2937"/>
                <w:sz w:val="18"/>
              </w:rPr>
              <w:t>1</w:t>
            </w:r>
          </w:p>
        </w:tc>
      </w:tr>
      <w:tr>
        <w:tc>
          <w:tcPr>
            <w:tcW w:type="dxa" w:w="1008"/>
            <w:tcMar>
              <w:top w:w="70" w:type="dxa"/>
              <w:start w:w="90" w:type="dxa"/>
              <w:bottom w:w="70" w:type="dxa"/>
              <w:end w:w="90" w:type="dxa"/>
            </w:tcMar>
            <w:vAlign w:val="center"/>
          </w:tcPr>
          <w:p>
            <w:pPr>
              <w:jc w:val="center"/>
            </w:pPr>
            <w:r>
              <w:rPr>
                <w:color w:val="1F2937"/>
                <w:sz w:val="18"/>
              </w:rPr>
              <w:t>1</w:t>
            </w:r>
          </w:p>
        </w:tc>
        <w:tc>
          <w:tcPr>
            <w:tcW w:type="dxa" w:w="1008"/>
            <w:tcMar>
              <w:top w:w="70" w:type="dxa"/>
              <w:start w:w="90" w:type="dxa"/>
              <w:bottom w:w="70" w:type="dxa"/>
              <w:end w:w="90" w:type="dxa"/>
            </w:tcMar>
            <w:vAlign w:val="center"/>
          </w:tcPr>
          <w:p>
            <w:pPr>
              <w:jc w:val="center"/>
            </w:pPr>
            <w:r>
              <w:rPr>
                <w:color w:val="1F2937"/>
                <w:sz w:val="18"/>
              </w:rPr>
              <w:t>0</w:t>
            </w:r>
          </w:p>
        </w:tc>
        <w:tc>
          <w:tcPr>
            <w:tcW w:type="dxa" w:w="1296"/>
            <w:tcMar>
              <w:top w:w="70" w:type="dxa"/>
              <w:start w:w="90" w:type="dxa"/>
              <w:bottom w:w="70" w:type="dxa"/>
              <w:end w:w="90" w:type="dxa"/>
            </w:tcMar>
            <w:vAlign w:val="center"/>
          </w:tcPr>
          <w:p>
            <w:pPr>
              <w:jc w:val="center"/>
            </w:pPr>
            <w:r>
              <w:rPr>
                <w:color w:val="1F2937"/>
                <w:sz w:val="18"/>
              </w:rPr>
              <w:t>1</w:t>
            </w:r>
          </w:p>
        </w:tc>
        <w:tc>
          <w:tcPr>
            <w:tcW w:type="dxa" w:w="1440"/>
            <w:tcMar>
              <w:top w:w="70" w:type="dxa"/>
              <w:start w:w="90" w:type="dxa"/>
              <w:bottom w:w="70" w:type="dxa"/>
              <w:end w:w="90" w:type="dxa"/>
            </w:tcMar>
            <w:vAlign w:val="center"/>
          </w:tcPr>
          <w:p>
            <w:pPr>
              <w:jc w:val="center"/>
            </w:pPr>
            <w:r>
              <w:rPr>
                <w:color w:val="1F2937"/>
                <w:sz w:val="18"/>
              </w:rPr>
              <w:t>1</w:t>
            </w:r>
          </w:p>
        </w:tc>
        <w:tc>
          <w:tcPr>
            <w:tcW w:type="dxa" w:w="1440"/>
            <w:tcMar>
              <w:top w:w="70" w:type="dxa"/>
              <w:start w:w="90" w:type="dxa"/>
              <w:bottom w:w="70" w:type="dxa"/>
              <w:end w:w="90" w:type="dxa"/>
            </w:tcMar>
            <w:vAlign w:val="center"/>
          </w:tcPr>
          <w:p>
            <w:pPr>
              <w:jc w:val="center"/>
            </w:pPr>
            <w:r>
              <w:rPr>
                <w:color w:val="1F2937"/>
                <w:sz w:val="18"/>
              </w:rPr>
              <w:t>1</w:t>
            </w:r>
          </w:p>
        </w:tc>
      </w:tr>
      <w:tr>
        <w:tc>
          <w:tcPr>
            <w:tcW w:type="dxa" w:w="1008"/>
            <w:tcMar>
              <w:top w:w="70" w:type="dxa"/>
              <w:start w:w="90" w:type="dxa"/>
              <w:bottom w:w="70" w:type="dxa"/>
              <w:end w:w="90" w:type="dxa"/>
            </w:tcMar>
            <w:vAlign w:val="center"/>
            <w:shd w:fill="F8FAFC"/>
          </w:tcPr>
          <w:p>
            <w:pPr>
              <w:jc w:val="center"/>
            </w:pPr>
            <w:r>
              <w:rPr>
                <w:color w:val="1F2937"/>
                <w:sz w:val="18"/>
              </w:rPr>
              <w:t>1</w:t>
            </w:r>
          </w:p>
        </w:tc>
        <w:tc>
          <w:tcPr>
            <w:tcW w:type="dxa" w:w="1008"/>
            <w:tcMar>
              <w:top w:w="70" w:type="dxa"/>
              <w:start w:w="90" w:type="dxa"/>
              <w:bottom w:w="70" w:type="dxa"/>
              <w:end w:w="90" w:type="dxa"/>
            </w:tcMar>
            <w:vAlign w:val="center"/>
            <w:shd w:fill="F8FAFC"/>
          </w:tcPr>
          <w:p>
            <w:pPr>
              <w:jc w:val="center"/>
            </w:pPr>
            <w:r>
              <w:rPr>
                <w:color w:val="1F2937"/>
                <w:sz w:val="18"/>
              </w:rPr>
              <w:t>1</w:t>
            </w:r>
          </w:p>
        </w:tc>
        <w:tc>
          <w:tcPr>
            <w:tcW w:type="dxa" w:w="1296"/>
            <w:tcMar>
              <w:top w:w="70" w:type="dxa"/>
              <w:start w:w="90" w:type="dxa"/>
              <w:bottom w:w="70" w:type="dxa"/>
              <w:end w:w="90" w:type="dxa"/>
            </w:tcMar>
            <w:vAlign w:val="center"/>
            <w:shd w:fill="F8FAFC"/>
          </w:tcPr>
          <w:p>
            <w:pPr>
              <w:jc w:val="center"/>
            </w:pPr>
            <w:r>
              <w:rPr>
                <w:color w:val="1F2937"/>
                <w:sz w:val="18"/>
              </w:rPr>
              <w:t>1</w:t>
            </w:r>
          </w:p>
        </w:tc>
        <w:tc>
          <w:tcPr>
            <w:tcW w:type="dxa" w:w="1440"/>
            <w:tcMar>
              <w:top w:w="70" w:type="dxa"/>
              <w:start w:w="90" w:type="dxa"/>
              <w:bottom w:w="70" w:type="dxa"/>
              <w:end w:w="90" w:type="dxa"/>
            </w:tcMar>
            <w:vAlign w:val="center"/>
            <w:shd w:fill="F8FAFC"/>
          </w:tcPr>
          <w:p>
            <w:pPr>
              <w:jc w:val="center"/>
            </w:pPr>
            <w:r>
              <w:rPr>
                <w:color w:val="1F2937"/>
                <w:sz w:val="18"/>
              </w:rPr>
              <w:t>0</w:t>
            </w:r>
          </w:p>
        </w:tc>
        <w:tc>
          <w:tcPr>
            <w:tcW w:type="dxa" w:w="1440"/>
            <w:tcMar>
              <w:top w:w="70" w:type="dxa"/>
              <w:start w:w="90" w:type="dxa"/>
              <w:bottom w:w="70" w:type="dxa"/>
              <w:end w:w="90" w:type="dxa"/>
            </w:tcMar>
            <w:vAlign w:val="center"/>
            <w:shd w:fill="F8FAFC"/>
          </w:tcPr>
          <w:p>
            <w:pPr>
              <w:jc w:val="center"/>
            </w:pPr>
            <w:r>
              <w:rPr>
                <w:color w:val="1F2937"/>
                <w:sz w:val="18"/>
              </w:rPr>
              <w:t>0</w:t>
            </w:r>
          </w:p>
        </w:tc>
      </w:tr>
    </w:tbl>
    <w:p>
      <w:pPr>
        <w:spacing w:before="0" w:after="40" w:line="259" w:lineRule="auto"/>
      </w:pPr>
      <w:r>
        <w:rPr>
          <w:b w:val="0"/>
          <w:i w:val="0"/>
          <w:color w:val="1F2937"/>
          <w:sz w:val="4"/>
        </w:rPr>
      </w:r>
    </w:p>
    <w:tbl>
      <w:tblPr>
        <w:tblW w:type="auto" w:w="0"/>
        <w:jc w:val="center"/>
        <w:tblLayout w:type="autofit"/>
        <w:tblLook w:firstColumn="1" w:firstRow="1" w:lastColumn="0" w:lastRow="0" w:noHBand="0" w:noVBand="1" w:val="04A0"/>
      </w:tblPr>
      <w:tblGrid>
        <w:gridCol w:w="10036"/>
      </w:tblGrid>
      <w:tr>
        <w:tc>
          <w:tcPr>
            <w:tcW w:type="dxa" w:w="10036"/>
            <w:shd w:fill="4B5563"/>
            <w:tcBorders>
              <w:top w:val="single" w:sz="8" w:color="4B5563"/>
              <w:left w:val="single" w:sz="8" w:color="4B5563"/>
              <w:bottom w:val="single" w:sz="8" w:color="4B5563"/>
              <w:right w:val="single" w:sz="8" w:color="4B5563"/>
            </w:tcBorders>
            <w:tcMar>
              <w:top w:w="90" w:type="dxa"/>
              <w:start w:w="130" w:type="dxa"/>
              <w:bottom w:w="90" w:type="dxa"/>
              <w:end w:w="130" w:type="dxa"/>
            </w:tcMar>
          </w:tcPr>
          <w:p>
            <w:pPr>
              <w:spacing w:after="0"/>
            </w:pPr>
            <w:r>
              <w:rPr>
                <w:b/>
                <w:color w:val="FFFFFF"/>
                <w:sz w:val="21"/>
              </w:rPr>
              <w:t>Mini-attività: “Inventate una rappresentazione intermedia”</w:t>
            </w:r>
          </w:p>
        </w:tc>
      </w:tr>
      <w:tr>
        <w:tc>
          <w:tcPr>
            <w:tcW w:type="dxa" w:w="10036"/>
            <w:shd w:fill="F3F4F6"/>
            <w:tcBorders>
              <w:top w:val="single" w:sz="8" w:color="4B5563"/>
              <w:left w:val="single" w:sz="8" w:color="4B5563"/>
              <w:bottom w:val="single" w:sz="8" w:color="4B5563"/>
              <w:right w:val="single" w:sz="8" w:color="4B5563"/>
            </w:tcBorders>
            <w:tcMar>
              <w:top w:w="110" w:type="dxa"/>
              <w:start w:w="150" w:type="dxa"/>
              <w:bottom w:w="110" w:type="dxa"/>
              <w:end w:w="150" w:type="dxa"/>
            </w:tcMar>
          </w:tcPr>
          <w:p>
            <w:pPr>
              <w:spacing w:after="80"/>
            </w:pPr>
            <w:r>
              <w:rPr>
                <w:color w:val="1F2937"/>
                <w:sz w:val="20"/>
              </w:rPr>
              <w:t>Prima di mostrare OR e NAND, chiedere ai gruppi: “Quali due domande intermedie potreste fare agli input per rendere XOR più semplice?”. Anche risposte non perfette sono utili: spostano l’attenzione dal calcolo alla costruzione di feature.</w:t>
            </w:r>
          </w:p>
        </w:tc>
      </w:tr>
    </w:tbl>
    <w:p>
      <w:pPr>
        <w:spacing w:before="0" w:after="40" w:line="259" w:lineRule="auto"/>
      </w:pPr>
      <w:r>
        <w:rPr>
          <w:b w:val="0"/>
          <w:i w:val="0"/>
          <w:color w:val="1F2937"/>
          <w:sz w:val="4"/>
        </w:rPr>
      </w:r>
    </w:p>
    <w:p>
      <w:pPr>
        <w:pageBreakBefore/>
        <w:spacing w:before="200" w:after="80"/>
      </w:pPr>
      <w:r>
        <w:rPr>
          <w:b/>
          <w:color w:val="1F4E78"/>
          <w:sz w:val="36"/>
        </w:rPr>
        <w:t>15.2  Addestramento: esempi per evitare il “mistero” della backpropagation</w:t>
      </w:r>
    </w:p>
    <w:p>
      <w:pPr>
        <w:spacing w:before="0" w:after="160" w:line="259" w:lineRule="auto"/>
      </w:pPr>
      <w:r>
        <w:rPr>
          <w:b w:val="0"/>
          <w:i/>
          <w:color w:val="4B5563"/>
          <w:sz w:val="21"/>
        </w:rPr>
        <w:t>Separare sempre tre livelli: errore osservato, gradiente, aggiornamento del parametro.</w:t>
      </w:r>
    </w:p>
    <w:tbl>
      <w:tblPr>
        <w:tblW w:type="auto" w:w="0"/>
        <w:jc w:val="center"/>
        <w:tblLayout w:type="autofit"/>
        <w:tblLook w:firstColumn="1" w:firstRow="1" w:lastColumn="0" w:lastRow="0" w:noHBand="0" w:noVBand="1" w:val="04A0"/>
      </w:tblPr>
      <w:tblGrid>
        <w:gridCol w:w="10036"/>
      </w:tblGrid>
      <w:tr>
        <w:tc>
          <w:tcPr>
            <w:tcW w:type="dxa" w:w="10036"/>
            <w:shd w:fill="0F766E"/>
            <w:tcBorders>
              <w:top w:val="single" w:sz="8" w:color="0F766E"/>
              <w:left w:val="single" w:sz="8" w:color="0F766E"/>
              <w:bottom w:val="single" w:sz="8" w:color="0F766E"/>
              <w:right w:val="single" w:sz="8" w:color="0F766E"/>
            </w:tcBorders>
            <w:tcMar>
              <w:top w:w="90" w:type="dxa"/>
              <w:start w:w="130" w:type="dxa"/>
              <w:bottom w:w="90" w:type="dxa"/>
              <w:end w:w="130" w:type="dxa"/>
            </w:tcMar>
          </w:tcPr>
          <w:p>
            <w:pPr>
              <w:spacing w:after="0"/>
            </w:pPr>
            <w:r>
              <w:rPr>
                <w:b/>
                <w:color w:val="FFFFFF"/>
                <w:sz w:val="21"/>
              </w:rPr>
              <w:t>Micro-esempio senza derivate</w:t>
            </w:r>
          </w:p>
        </w:tc>
      </w:tr>
      <w:tr>
        <w:tc>
          <w:tcPr>
            <w:tcW w:type="dxa" w:w="10036"/>
            <w:shd w:fill="E8F7F5"/>
            <w:tcBorders>
              <w:top w:val="single" w:sz="8" w:color="0F766E"/>
              <w:left w:val="single" w:sz="8" w:color="0F766E"/>
              <w:bottom w:val="single" w:sz="8" w:color="0F766E"/>
              <w:right w:val="single" w:sz="8" w:color="0F766E"/>
            </w:tcBorders>
            <w:tcMar>
              <w:top w:w="110" w:type="dxa"/>
              <w:start w:w="150" w:type="dxa"/>
              <w:bottom w:w="110" w:type="dxa"/>
              <w:end w:w="150" w:type="dxa"/>
            </w:tcMar>
          </w:tcPr>
          <w:p>
            <w:pPr>
              <w:spacing w:after="80"/>
            </w:pPr>
            <w:r>
              <w:rPr>
                <w:color w:val="1F2937"/>
                <w:sz w:val="20"/>
              </w:rPr>
              <w:t>Modello ŷ=w·x, x=1, target y=1. Se w=0,2, ŷ=0,2. Se dopo un piccolo aggiornamento w=0,36, ŷ=0,36: l’errore è diminuito. Ripetere per 3-4 passi. Poi spiegare che il gradiente serve a scegliere sistematicamente direzione e ampiezza dell’aggiornamento.</w:t>
            </w:r>
          </w:p>
        </w:tc>
      </w:tr>
    </w:tbl>
    <w:p>
      <w:pPr>
        <w:spacing w:before="0" w:after="40" w:line="259" w:lineRule="auto"/>
      </w:pPr>
      <w:r>
        <w:rPr>
          <w:b w:val="0"/>
          <w:i w:val="0"/>
          <w:color w:val="1F2937"/>
          <w:sz w:val="4"/>
        </w:rPr>
      </w:r>
    </w:p>
    <w:tbl>
      <w:tblPr>
        <w:tblW w:type="auto" w:w="0"/>
        <w:jc w:val="center"/>
        <w:tblLayout w:type="autofit"/>
        <w:tblLook w:firstColumn="1" w:firstRow="1" w:lastColumn="0" w:lastRow="0" w:noHBand="0" w:noVBand="1" w:val="04A0"/>
      </w:tblPr>
      <w:tblGrid>
        <w:gridCol w:w="10036"/>
      </w:tblGrid>
      <w:tr>
        <w:tc>
          <w:tcPr>
            <w:tcW w:type="dxa" w:w="10036"/>
            <w:shd w:fill="D97706"/>
            <w:tcBorders>
              <w:top w:val="single" w:sz="8" w:color="D97706"/>
              <w:left w:val="single" w:sz="8" w:color="D97706"/>
              <w:bottom w:val="single" w:sz="8" w:color="D97706"/>
              <w:right w:val="single" w:sz="8" w:color="D97706"/>
            </w:tcBorders>
            <w:tcMar>
              <w:top w:w="90" w:type="dxa"/>
              <w:start w:w="130" w:type="dxa"/>
              <w:bottom w:w="90" w:type="dxa"/>
              <w:end w:w="130" w:type="dxa"/>
            </w:tcMar>
          </w:tcPr>
          <w:p>
            <w:pPr>
              <w:spacing w:after="0"/>
            </w:pPr>
            <w:r>
              <w:rPr>
                <w:b/>
                <w:color w:val="FFFFFF"/>
                <w:sz w:val="21"/>
              </w:rPr>
              <w:t>Esempio di learning rate</w:t>
            </w:r>
          </w:p>
        </w:tc>
      </w:tr>
      <w:tr>
        <w:tc>
          <w:tcPr>
            <w:tcW w:type="dxa" w:w="10036"/>
            <w:shd w:fill="FFF4E5"/>
            <w:tcBorders>
              <w:top w:val="single" w:sz="8" w:color="D97706"/>
              <w:left w:val="single" w:sz="8" w:color="D97706"/>
              <w:bottom w:val="single" w:sz="8" w:color="D97706"/>
              <w:right w:val="single" w:sz="8" w:color="D97706"/>
            </w:tcBorders>
            <w:tcMar>
              <w:top w:w="110" w:type="dxa"/>
              <w:start w:w="150" w:type="dxa"/>
              <w:bottom w:w="110" w:type="dxa"/>
              <w:end w:w="150" w:type="dxa"/>
            </w:tcMar>
          </w:tcPr>
          <w:p>
            <w:pPr>
              <w:spacing w:after="80"/>
            </w:pPr>
            <w:r>
              <w:rPr>
                <w:color w:val="1F2937"/>
                <w:sz w:val="20"/>
              </w:rPr>
              <w:t>Se la direzione corretta suggerisce di aumentare w, un learning rate molto piccolo produce correzioni lente; uno troppo grande può superare il punto migliore e oscillare. Metafora controllata: non “passi nel buio”, ma dimensione numerica dell’aggiornamento lungo il gradiente.</w:t>
            </w:r>
          </w:p>
        </w:tc>
      </w:tr>
    </w:tbl>
    <w:p>
      <w:pPr>
        <w:spacing w:before="0" w:after="40" w:line="259" w:lineRule="auto"/>
      </w:pPr>
      <w:r>
        <w:rPr>
          <w:b w:val="0"/>
          <w:i w:val="0"/>
          <w:color w:val="1F2937"/>
          <w:sz w:val="4"/>
        </w:rPr>
      </w:r>
    </w:p>
    <w:tbl>
      <w:tblPr>
        <w:tblW w:type="auto" w:w="0"/>
        <w:jc w:val="center"/>
        <w:tblLayout w:type="autofit"/>
        <w:tblLook w:firstColumn="1" w:firstRow="1" w:lastColumn="0" w:lastRow="0" w:noHBand="0" w:noVBand="1" w:val="04A0"/>
      </w:tblPr>
      <w:tblGrid>
        <w:gridCol w:w="10036"/>
      </w:tblGrid>
      <w:tr>
        <w:tc>
          <w:tcPr>
            <w:tcW w:type="dxa" w:w="10036"/>
            <w:shd w:fill="B42318"/>
            <w:tcBorders>
              <w:top w:val="single" w:sz="8" w:color="B42318"/>
              <w:left w:val="single" w:sz="8" w:color="B42318"/>
              <w:bottom w:val="single" w:sz="8" w:color="B42318"/>
              <w:right w:val="single" w:sz="8" w:color="B42318"/>
            </w:tcBorders>
            <w:tcMar>
              <w:top w:w="90" w:type="dxa"/>
              <w:start w:w="130" w:type="dxa"/>
              <w:bottom w:w="90" w:type="dxa"/>
              <w:end w:w="130" w:type="dxa"/>
            </w:tcMar>
          </w:tcPr>
          <w:p>
            <w:pPr>
              <w:spacing w:after="0"/>
            </w:pPr>
            <w:r>
              <w:rPr>
                <w:b/>
                <w:color w:val="FFFFFF"/>
                <w:sz w:val="21"/>
              </w:rPr>
              <w:t>Overfitting in un caso scolastico</w:t>
            </w:r>
          </w:p>
        </w:tc>
      </w:tr>
      <w:tr>
        <w:tc>
          <w:tcPr>
            <w:tcW w:type="dxa" w:w="10036"/>
            <w:shd w:fill="FDECEC"/>
            <w:tcBorders>
              <w:top w:val="single" w:sz="8" w:color="B42318"/>
              <w:left w:val="single" w:sz="8" w:color="B42318"/>
              <w:bottom w:val="single" w:sz="8" w:color="B42318"/>
              <w:right w:val="single" w:sz="8" w:color="B42318"/>
            </w:tcBorders>
            <w:tcMar>
              <w:top w:w="110" w:type="dxa"/>
              <w:start w:w="150" w:type="dxa"/>
              <w:bottom w:w="110" w:type="dxa"/>
              <w:end w:w="150" w:type="dxa"/>
            </w:tcMar>
          </w:tcPr>
          <w:p>
            <w:pPr>
              <w:spacing w:after="80"/>
            </w:pPr>
            <w:r>
              <w:rPr>
                <w:color w:val="1F2937"/>
                <w:sz w:val="20"/>
              </w:rPr>
              <w:t>Classificatore “cane/non cane” addestrato quasi solo con cani su erba verde. Se usa il prato come indizio dominante, può fallire su cani in casa. Domande: quale correlazione spuriosa ha appreso? quali dati aggiungereste al training set?</w:t>
            </w:r>
          </w:p>
        </w:tc>
      </w:tr>
    </w:tbl>
    <w:p>
      <w:pPr>
        <w:spacing w:before="0" w:after="40" w:line="259" w:lineRule="auto"/>
      </w:pPr>
      <w:r>
        <w:rPr>
          <w:b w:val="0"/>
          <w:i w:val="0"/>
          <w:color w:val="1F2937"/>
          <w:sz w:val="4"/>
        </w:rPr>
      </w:r>
    </w:p>
    <w:p>
      <w:pPr>
        <w:pageBreakBefore/>
        <w:spacing w:before="200" w:after="80"/>
      </w:pPr>
      <w:r>
        <w:rPr>
          <w:b/>
          <w:color w:val="1F4E78"/>
          <w:sz w:val="36"/>
        </w:rPr>
        <w:t>15.3  IA generativa: esempi pronti da proiettare</w:t>
      </w:r>
    </w:p>
    <w:p>
      <w:pPr>
        <w:spacing w:before="0" w:after="160" w:line="259" w:lineRule="auto"/>
      </w:pPr>
      <w:r>
        <w:rPr>
          <w:b w:val="0"/>
          <w:i/>
          <w:color w:val="4B5563"/>
          <w:sz w:val="21"/>
        </w:rPr>
        <w:t>Numeri volutamente illustrativi; non attribuirli a modelli reali.</w:t>
      </w:r>
    </w:p>
    <w:tbl>
      <w:tblPr>
        <w:tblStyle w:val="TableGrid"/>
        <w:tblW w:type="auto" w:w="0"/>
        <w:jc w:val="center"/>
        <w:tblLook w:firstColumn="1" w:firstRow="1" w:lastColumn="0" w:lastRow="0" w:noHBand="0" w:noVBand="1" w:val="04A0"/>
      </w:tblPr>
      <w:tblGrid>
        <w:gridCol w:w="3345"/>
        <w:gridCol w:w="3345"/>
        <w:gridCol w:w="3345"/>
      </w:tblGrid>
      <w:tr>
        <w:tc>
          <w:tcPr>
            <w:tcW w:type="dxa" w:w="3024"/>
            <w:shd w:fill="1F4E78"/>
            <w:tcMar>
              <w:top w:w="70" w:type="dxa"/>
              <w:start w:w="90" w:type="dxa"/>
              <w:bottom w:w="70" w:type="dxa"/>
              <w:end w:w="90" w:type="dxa"/>
            </w:tcMar>
            <w:vAlign w:val="center"/>
          </w:tcPr>
          <w:p>
            <w:pPr>
              <w:jc w:val="center"/>
            </w:pPr>
            <w:r>
              <w:rPr>
                <w:b/>
                <w:color w:val="FFFFFF"/>
                <w:sz w:val="18"/>
              </w:rPr>
              <w:t>Prompt parziale</w:t>
            </w:r>
          </w:p>
        </w:tc>
        <w:tc>
          <w:tcPr>
            <w:tcW w:type="dxa" w:w="2448"/>
            <w:shd w:fill="1F4E78"/>
            <w:tcMar>
              <w:top w:w="70" w:type="dxa"/>
              <w:start w:w="90" w:type="dxa"/>
              <w:bottom w:w="70" w:type="dxa"/>
              <w:end w:w="90" w:type="dxa"/>
            </w:tcMar>
            <w:vAlign w:val="center"/>
          </w:tcPr>
          <w:p>
            <w:pPr>
              <w:jc w:val="center"/>
            </w:pPr>
            <w:r>
              <w:rPr>
                <w:b/>
                <w:color w:val="FFFFFF"/>
                <w:sz w:val="18"/>
              </w:rPr>
              <w:t>Candidato più plausibile</w:t>
            </w:r>
          </w:p>
        </w:tc>
        <w:tc>
          <w:tcPr>
            <w:tcW w:type="dxa" w:w="4320"/>
            <w:shd w:fill="1F4E78"/>
            <w:tcMar>
              <w:top w:w="70" w:type="dxa"/>
              <w:start w:w="90" w:type="dxa"/>
              <w:bottom w:w="70" w:type="dxa"/>
              <w:end w:w="90" w:type="dxa"/>
            </w:tcMar>
            <w:vAlign w:val="center"/>
          </w:tcPr>
          <w:p>
            <w:pPr>
              <w:jc w:val="center"/>
            </w:pPr>
            <w:r>
              <w:rPr>
                <w:b/>
                <w:color w:val="FFFFFF"/>
                <w:sz w:val="18"/>
              </w:rPr>
              <w:t>Che cosa discutere</w:t>
            </w:r>
          </w:p>
        </w:tc>
      </w:tr>
      <w:tr>
        <w:tc>
          <w:tcPr>
            <w:tcW w:type="dxa" w:w="3024"/>
            <w:tcMar>
              <w:top w:w="70" w:type="dxa"/>
              <w:start w:w="90" w:type="dxa"/>
              <w:bottom w:w="70" w:type="dxa"/>
              <w:end w:w="90" w:type="dxa"/>
            </w:tcMar>
            <w:vAlign w:val="center"/>
          </w:tcPr>
          <w:p>
            <w:pPr>
              <w:jc w:val="center"/>
            </w:pPr>
            <w:r>
              <w:rPr>
                <w:color w:val="1F2937"/>
                <w:sz w:val="18"/>
              </w:rPr>
              <w:t>Il gatto beve …</w:t>
            </w:r>
          </w:p>
        </w:tc>
        <w:tc>
          <w:tcPr>
            <w:tcW w:type="dxa" w:w="2448"/>
            <w:tcMar>
              <w:top w:w="70" w:type="dxa"/>
              <w:start w:w="90" w:type="dxa"/>
              <w:bottom w:w="70" w:type="dxa"/>
              <w:end w:w="90" w:type="dxa"/>
            </w:tcMar>
            <w:vAlign w:val="center"/>
          </w:tcPr>
          <w:p>
            <w:pPr>
              <w:jc w:val="center"/>
            </w:pPr>
            <w:r>
              <w:rPr>
                <w:color w:val="1F2937"/>
                <w:sz w:val="18"/>
              </w:rPr>
              <w:t>acqua</w:t>
            </w:r>
          </w:p>
        </w:tc>
        <w:tc>
          <w:tcPr>
            <w:tcW w:type="dxa" w:w="4320"/>
            <w:tcMar>
              <w:top w:w="70" w:type="dxa"/>
              <w:start w:w="90" w:type="dxa"/>
              <w:bottom w:w="70" w:type="dxa"/>
              <w:end w:w="90" w:type="dxa"/>
            </w:tcMar>
            <w:vAlign w:val="center"/>
          </w:tcPr>
          <w:p>
            <w:pPr>
              <w:jc w:val="left"/>
            </w:pPr>
            <w:r>
              <w:rPr>
                <w:color w:val="1F2937"/>
                <w:sz w:val="18"/>
              </w:rPr>
              <w:t>probabilità ≠ regola rigida; contesto e dati appresi</w:t>
            </w:r>
          </w:p>
        </w:tc>
      </w:tr>
      <w:tr>
        <w:tc>
          <w:tcPr>
            <w:tcW w:type="dxa" w:w="3024"/>
            <w:tcMar>
              <w:top w:w="70" w:type="dxa"/>
              <w:start w:w="90" w:type="dxa"/>
              <w:bottom w:w="70" w:type="dxa"/>
              <w:end w:w="90" w:type="dxa"/>
            </w:tcMar>
            <w:vAlign w:val="center"/>
            <w:shd w:fill="F8FAFC"/>
          </w:tcPr>
          <w:p>
            <w:pPr>
              <w:jc w:val="center"/>
            </w:pPr>
            <w:r>
              <w:rPr>
                <w:color w:val="1F2937"/>
                <w:sz w:val="18"/>
              </w:rPr>
              <w:t>La capitale d’Italia è …</w:t>
            </w:r>
          </w:p>
        </w:tc>
        <w:tc>
          <w:tcPr>
            <w:tcW w:type="dxa" w:w="2448"/>
            <w:tcMar>
              <w:top w:w="70" w:type="dxa"/>
              <w:start w:w="90" w:type="dxa"/>
              <w:bottom w:w="70" w:type="dxa"/>
              <w:end w:w="90" w:type="dxa"/>
            </w:tcMar>
            <w:vAlign w:val="center"/>
            <w:shd w:fill="F8FAFC"/>
          </w:tcPr>
          <w:p>
            <w:pPr>
              <w:jc w:val="center"/>
            </w:pPr>
            <w:r>
              <w:rPr>
                <w:color w:val="1F2937"/>
                <w:sz w:val="18"/>
              </w:rPr>
              <w:t>Roma</w:t>
            </w:r>
          </w:p>
        </w:tc>
        <w:tc>
          <w:tcPr>
            <w:tcW w:type="dxa" w:w="4320"/>
            <w:tcMar>
              <w:top w:w="70" w:type="dxa"/>
              <w:start w:w="90" w:type="dxa"/>
              <w:bottom w:w="70" w:type="dxa"/>
              <w:end w:w="90" w:type="dxa"/>
            </w:tcMar>
            <w:vAlign w:val="center"/>
            <w:shd w:fill="F8FAFC"/>
          </w:tcPr>
          <w:p>
            <w:pPr>
              <w:jc w:val="left"/>
            </w:pPr>
            <w:r>
              <w:rPr>
                <w:color w:val="1F2937"/>
                <w:sz w:val="18"/>
              </w:rPr>
              <w:t>plausibilità molto alta, ma non sostituisce la verifica delle fonti</w:t>
            </w:r>
          </w:p>
        </w:tc>
      </w:tr>
      <w:tr>
        <w:tc>
          <w:tcPr>
            <w:tcW w:type="dxa" w:w="3024"/>
            <w:tcMar>
              <w:top w:w="70" w:type="dxa"/>
              <w:start w:w="90" w:type="dxa"/>
              <w:bottom w:w="70" w:type="dxa"/>
              <w:end w:w="90" w:type="dxa"/>
            </w:tcMar>
            <w:vAlign w:val="center"/>
          </w:tcPr>
          <w:p>
            <w:pPr>
              <w:jc w:val="center"/>
            </w:pPr>
            <w:r>
              <w:rPr>
                <w:color w:val="1F2937"/>
                <w:sz w:val="18"/>
              </w:rPr>
              <w:t>2 + 2 = …</w:t>
            </w:r>
          </w:p>
        </w:tc>
        <w:tc>
          <w:tcPr>
            <w:tcW w:type="dxa" w:w="2448"/>
            <w:tcMar>
              <w:top w:w="70" w:type="dxa"/>
              <w:start w:w="90" w:type="dxa"/>
              <w:bottom w:w="70" w:type="dxa"/>
              <w:end w:w="90" w:type="dxa"/>
            </w:tcMar>
            <w:vAlign w:val="center"/>
          </w:tcPr>
          <w:p>
            <w:pPr>
              <w:jc w:val="center"/>
            </w:pPr>
            <w:r>
              <w:rPr>
                <w:color w:val="1F2937"/>
                <w:sz w:val="18"/>
              </w:rPr>
              <w:t>4</w:t>
            </w:r>
          </w:p>
        </w:tc>
        <w:tc>
          <w:tcPr>
            <w:tcW w:type="dxa" w:w="4320"/>
            <w:tcMar>
              <w:top w:w="70" w:type="dxa"/>
              <w:start w:w="90" w:type="dxa"/>
              <w:bottom w:w="70" w:type="dxa"/>
              <w:end w:w="90" w:type="dxa"/>
            </w:tcMar>
            <w:vAlign w:val="center"/>
          </w:tcPr>
          <w:p>
            <w:pPr>
              <w:jc w:val="left"/>
            </w:pPr>
            <w:r>
              <w:rPr>
                <w:color w:val="1F2937"/>
                <w:sz w:val="18"/>
              </w:rPr>
              <w:t>pattern fortissimo; distinguere generazione linguistica da calcolo verificato</w:t>
            </w:r>
          </w:p>
        </w:tc>
      </w:tr>
      <w:tr>
        <w:tc>
          <w:tcPr>
            <w:tcW w:type="dxa" w:w="3024"/>
            <w:tcMar>
              <w:top w:w="70" w:type="dxa"/>
              <w:start w:w="90" w:type="dxa"/>
              <w:bottom w:w="70" w:type="dxa"/>
              <w:end w:w="90" w:type="dxa"/>
            </w:tcMar>
            <w:vAlign w:val="center"/>
            <w:shd w:fill="F8FAFC"/>
          </w:tcPr>
          <w:p>
            <w:pPr>
              <w:jc w:val="center"/>
            </w:pPr>
            <w:r>
              <w:rPr>
                <w:color w:val="1F2937"/>
                <w:sz w:val="18"/>
              </w:rPr>
              <w:t>Il cielo è …</w:t>
            </w:r>
          </w:p>
        </w:tc>
        <w:tc>
          <w:tcPr>
            <w:tcW w:type="dxa" w:w="2448"/>
            <w:tcMar>
              <w:top w:w="70" w:type="dxa"/>
              <w:start w:w="90" w:type="dxa"/>
              <w:bottom w:w="70" w:type="dxa"/>
              <w:end w:w="90" w:type="dxa"/>
            </w:tcMar>
            <w:vAlign w:val="center"/>
            <w:shd w:fill="F8FAFC"/>
          </w:tcPr>
          <w:p>
            <w:pPr>
              <w:jc w:val="center"/>
            </w:pPr>
            <w:r>
              <w:rPr>
                <w:color w:val="1F2937"/>
                <w:sz w:val="18"/>
              </w:rPr>
              <w:t>blu</w:t>
            </w:r>
          </w:p>
        </w:tc>
        <w:tc>
          <w:tcPr>
            <w:tcW w:type="dxa" w:w="4320"/>
            <w:tcMar>
              <w:top w:w="70" w:type="dxa"/>
              <w:start w:w="90" w:type="dxa"/>
              <w:bottom w:w="70" w:type="dxa"/>
              <w:end w:w="90" w:type="dxa"/>
            </w:tcMar>
            <w:vAlign w:val="center"/>
            <w:shd w:fill="F8FAFC"/>
          </w:tcPr>
          <w:p>
            <w:pPr>
              <w:jc w:val="left"/>
            </w:pPr>
            <w:r>
              <w:rPr>
                <w:color w:val="1F2937"/>
                <w:sz w:val="18"/>
              </w:rPr>
              <w:t>dipendenza dal contesto: notte, temporale, tramonto cambiano la distribuzione</w:t>
            </w:r>
          </w:p>
        </w:tc>
      </w:tr>
    </w:tbl>
    <w:p>
      <w:pPr>
        <w:spacing w:before="0" w:after="40" w:line="259" w:lineRule="auto"/>
      </w:pPr>
      <w:r>
        <w:rPr>
          <w:b w:val="0"/>
          <w:i w:val="0"/>
          <w:color w:val="1F2937"/>
          <w:sz w:val="4"/>
        </w:rPr>
      </w:r>
    </w:p>
    <w:tbl>
      <w:tblPr>
        <w:tblW w:type="auto" w:w="0"/>
        <w:jc w:val="center"/>
        <w:tblLayout w:type="autofit"/>
        <w:tblLook w:firstColumn="1" w:firstRow="1" w:lastColumn="0" w:lastRow="0" w:noHBand="0" w:noVBand="1" w:val="04A0"/>
      </w:tblPr>
      <w:tblGrid>
        <w:gridCol w:w="10036"/>
      </w:tblGrid>
      <w:tr>
        <w:tc>
          <w:tcPr>
            <w:tcW w:type="dxa" w:w="10036"/>
            <w:shd w:fill="6D28D9"/>
            <w:tcBorders>
              <w:top w:val="single" w:sz="8" w:color="6D28D9"/>
              <w:left w:val="single" w:sz="8" w:color="6D28D9"/>
              <w:bottom w:val="single" w:sz="8" w:color="6D28D9"/>
              <w:right w:val="single" w:sz="8" w:color="6D28D9"/>
            </w:tcBorders>
            <w:tcMar>
              <w:top w:w="90" w:type="dxa"/>
              <w:start w:w="130" w:type="dxa"/>
              <w:bottom w:w="90" w:type="dxa"/>
              <w:end w:w="130" w:type="dxa"/>
            </w:tcMar>
          </w:tcPr>
          <w:p>
            <w:pPr>
              <w:spacing w:after="0"/>
            </w:pPr>
            <w:r>
              <w:rPr>
                <w:b/>
                <w:color w:val="FFFFFF"/>
                <w:sz w:val="21"/>
              </w:rPr>
              <w:t>Temperatura: dimostrazione da 2 minuti</w:t>
            </w:r>
          </w:p>
        </w:tc>
      </w:tr>
      <w:tr>
        <w:tc>
          <w:tcPr>
            <w:tcW w:type="dxa" w:w="10036"/>
            <w:shd w:fill="F1ECFE"/>
            <w:tcBorders>
              <w:top w:val="single" w:sz="8" w:color="6D28D9"/>
              <w:left w:val="single" w:sz="8" w:color="6D28D9"/>
              <w:bottom w:val="single" w:sz="8" w:color="6D28D9"/>
              <w:right w:val="single" w:sz="8" w:color="6D28D9"/>
            </w:tcBorders>
            <w:tcMar>
              <w:top w:w="110" w:type="dxa"/>
              <w:start w:w="150" w:type="dxa"/>
              <w:bottom w:w="110" w:type="dxa"/>
              <w:end w:w="150" w:type="dxa"/>
            </w:tcMar>
          </w:tcPr>
          <w:p>
            <w:pPr>
              <w:spacing w:after="80"/>
            </w:pPr>
            <w:r>
              <w:rPr>
                <w:color w:val="1F2937"/>
                <w:sz w:val="20"/>
              </w:rPr>
              <w:t>Scrivere tre candidati con probabilità 0,70 / 0,20 / 0,10. Spiegare che una temperatura bassa rende la distribuzione più concentrata, una alta più piatta. Domanda: “A temperatura alta il modello sa più cose?” Risposta: no, cambia la politica di campionamento, non la conoscenza appresa.</w:t>
            </w:r>
          </w:p>
        </w:tc>
      </w:tr>
    </w:tbl>
    <w:p>
      <w:pPr>
        <w:spacing w:before="0" w:after="40" w:line="259" w:lineRule="auto"/>
      </w:pPr>
      <w:r>
        <w:rPr>
          <w:b w:val="0"/>
          <w:i w:val="0"/>
          <w:color w:val="1F2937"/>
          <w:sz w:val="4"/>
        </w:rPr>
      </w:r>
    </w:p>
    <w:tbl>
      <w:tblPr>
        <w:tblW w:type="auto" w:w="0"/>
        <w:jc w:val="center"/>
        <w:tblLayout w:type="autofit"/>
        <w:tblLook w:firstColumn="1" w:firstRow="1" w:lastColumn="0" w:lastRow="0" w:noHBand="0" w:noVBand="1" w:val="04A0"/>
      </w:tblPr>
      <w:tblGrid>
        <w:gridCol w:w="10036"/>
      </w:tblGrid>
      <w:tr>
        <w:tc>
          <w:tcPr>
            <w:tcW w:type="dxa" w:w="10036"/>
            <w:shd w:fill="1F4E78"/>
            <w:tcBorders>
              <w:top w:val="single" w:sz="8" w:color="1F4E78"/>
              <w:left w:val="single" w:sz="8" w:color="1F4E78"/>
              <w:bottom w:val="single" w:sz="8" w:color="1F4E78"/>
              <w:right w:val="single" w:sz="8" w:color="1F4E78"/>
            </w:tcBorders>
            <w:tcMar>
              <w:top w:w="90" w:type="dxa"/>
              <w:start w:w="130" w:type="dxa"/>
              <w:bottom w:w="90" w:type="dxa"/>
              <w:end w:w="130" w:type="dxa"/>
            </w:tcMar>
          </w:tcPr>
          <w:p>
            <w:pPr>
              <w:spacing w:after="0"/>
            </w:pPr>
            <w:r>
              <w:rPr>
                <w:b/>
                <w:color w:val="FFFFFF"/>
                <w:sz w:val="21"/>
              </w:rPr>
              <w:t>Attention: una frase utile</w:t>
            </w:r>
          </w:p>
        </w:tc>
      </w:tr>
      <w:tr>
        <w:tc>
          <w:tcPr>
            <w:tcW w:type="dxa" w:w="10036"/>
            <w:shd w:fill="EAF4FB"/>
            <w:tcBorders>
              <w:top w:val="single" w:sz="8" w:color="1F4E78"/>
              <w:left w:val="single" w:sz="8" w:color="1F4E78"/>
              <w:bottom w:val="single" w:sz="8" w:color="1F4E78"/>
              <w:right w:val="single" w:sz="8" w:color="1F4E78"/>
            </w:tcBorders>
            <w:tcMar>
              <w:top w:w="110" w:type="dxa"/>
              <w:start w:w="150" w:type="dxa"/>
              <w:bottom w:w="110" w:type="dxa"/>
              <w:end w:w="150" w:type="dxa"/>
            </w:tcMar>
          </w:tcPr>
          <w:p>
            <w:pPr>
              <w:spacing w:after="80"/>
            </w:pPr>
            <w:r>
              <w:rPr>
                <w:color w:val="1F2937"/>
                <w:sz w:val="20"/>
              </w:rPr>
              <w:t>“Il cane che inseguiva i gatti era stanco.” Chiedere: a chi si riferisce “era stanco”? Usare l’esempio per introdurre l’idea che una posizione combina informazione da altre posizioni. Precisare che i coefficienti di attention non sono spiegazioni causali complete del comportamento del modello.</w:t>
            </w:r>
          </w:p>
        </w:tc>
      </w:tr>
    </w:tbl>
    <w:p>
      <w:pPr>
        <w:spacing w:before="0" w:after="40" w:line="259" w:lineRule="auto"/>
      </w:pPr>
      <w:r>
        <w:rPr>
          <w:b w:val="0"/>
          <w:i w:val="0"/>
          <w:color w:val="1F2937"/>
          <w:sz w:val="4"/>
        </w:rPr>
      </w:r>
    </w:p>
    <w:tbl>
      <w:tblPr>
        <w:tblW w:type="auto" w:w="0"/>
        <w:jc w:val="center"/>
        <w:tblLayout w:type="autofit"/>
        <w:tblLook w:firstColumn="1" w:firstRow="1" w:lastColumn="0" w:lastRow="0" w:noHBand="0" w:noVBand="1" w:val="04A0"/>
      </w:tblPr>
      <w:tblGrid>
        <w:gridCol w:w="10036"/>
      </w:tblGrid>
      <w:tr>
        <w:tc>
          <w:tcPr>
            <w:tcW w:type="dxa" w:w="10036"/>
            <w:shd w:fill="287A44"/>
            <w:tcBorders>
              <w:top w:val="single" w:sz="8" w:color="287A44"/>
              <w:left w:val="single" w:sz="8" w:color="287A44"/>
              <w:bottom w:val="single" w:sz="8" w:color="287A44"/>
              <w:right w:val="single" w:sz="8" w:color="287A44"/>
            </w:tcBorders>
            <w:tcMar>
              <w:top w:w="90" w:type="dxa"/>
              <w:start w:w="130" w:type="dxa"/>
              <w:bottom w:w="90" w:type="dxa"/>
              <w:end w:w="130" w:type="dxa"/>
            </w:tcMar>
          </w:tcPr>
          <w:p>
            <w:pPr>
              <w:spacing w:after="0"/>
            </w:pPr>
            <w:r>
              <w:rPr>
                <w:b/>
                <w:color w:val="FFFFFF"/>
                <w:sz w:val="21"/>
              </w:rPr>
              <w:t>Polisemia: banca</w:t>
            </w:r>
          </w:p>
        </w:tc>
      </w:tr>
      <w:tr>
        <w:tc>
          <w:tcPr>
            <w:tcW w:type="dxa" w:w="10036"/>
            <w:shd w:fill="EAF7EE"/>
            <w:tcBorders>
              <w:top w:val="single" w:sz="8" w:color="287A44"/>
              <w:left w:val="single" w:sz="8" w:color="287A44"/>
              <w:bottom w:val="single" w:sz="8" w:color="287A44"/>
              <w:right w:val="single" w:sz="8" w:color="287A44"/>
            </w:tcBorders>
            <w:tcMar>
              <w:top w:w="110" w:type="dxa"/>
              <w:start w:w="150" w:type="dxa"/>
              <w:bottom w:w="110" w:type="dxa"/>
              <w:end w:w="150" w:type="dxa"/>
            </w:tcMar>
          </w:tcPr>
          <w:p>
            <w:pPr>
              <w:spacing w:after="80"/>
            </w:pPr>
            <w:r>
              <w:rPr>
                <w:color w:val="1F2937"/>
                <w:sz w:val="20"/>
              </w:rPr>
              <w:t>Confrontare “deposito i soldi in banca” e “una banca di sabbia”. Il token viene elaborato nel contesto e assume rappresentazioni contestualizzate differenti. Ottimo esempio per contrastare l’idea “un neurone corrisponde a un concetto”.</w:t>
            </w:r>
          </w:p>
        </w:tc>
      </w:tr>
    </w:tbl>
    <w:p>
      <w:pPr>
        <w:spacing w:before="0" w:after="40" w:line="259" w:lineRule="auto"/>
      </w:pPr>
      <w:r>
        <w:rPr>
          <w:b w:val="0"/>
          <w:i w:val="0"/>
          <w:color w:val="1F2937"/>
          <w:sz w:val="4"/>
        </w:rPr>
      </w:r>
    </w:p>
    <w:p>
      <w:pPr>
        <w:pageBreakBefore/>
        <w:spacing w:before="200" w:after="80"/>
      </w:pPr>
      <w:r>
        <w:rPr>
          <w:b/>
          <w:color w:val="1F4E78"/>
          <w:sz w:val="36"/>
        </w:rPr>
        <w:t>15.4  Domande diagnostiche con risposte attese</w:t>
      </w:r>
    </w:p>
    <w:p>
      <w:pPr>
        <w:spacing w:before="0" w:after="160" w:line="259" w:lineRule="auto"/>
      </w:pPr>
      <w:r>
        <w:rPr>
          <w:b w:val="0"/>
          <w:i/>
          <w:color w:val="4B5563"/>
          <w:sz w:val="21"/>
        </w:rPr>
        <w:t>Usarle come formative assessment durante la dimostrazione.</w:t>
      </w:r>
    </w:p>
    <w:tbl>
      <w:tblPr>
        <w:tblStyle w:val="TableGrid"/>
        <w:tblW w:type="auto" w:w="0"/>
        <w:jc w:val="center"/>
        <w:tblLook w:firstColumn="1" w:firstRow="1" w:lastColumn="0" w:lastRow="0" w:noHBand="0" w:noVBand="1" w:val="04A0"/>
      </w:tblPr>
      <w:tblGrid>
        <w:gridCol w:w="5018"/>
        <w:gridCol w:w="5018"/>
      </w:tblGrid>
      <w:tr>
        <w:tc>
          <w:tcPr>
            <w:tcW w:type="dxa" w:w="4032"/>
            <w:shd w:fill="1F4E78"/>
            <w:tcMar>
              <w:top w:w="70" w:type="dxa"/>
              <w:start w:w="90" w:type="dxa"/>
              <w:bottom w:w="70" w:type="dxa"/>
              <w:end w:w="90" w:type="dxa"/>
            </w:tcMar>
            <w:vAlign w:val="center"/>
          </w:tcPr>
          <w:p>
            <w:pPr>
              <w:jc w:val="center"/>
            </w:pPr>
            <w:r>
              <w:rPr>
                <w:b/>
                <w:color w:val="FFFFFF"/>
                <w:sz w:val="17"/>
              </w:rPr>
              <w:t>Domanda</w:t>
            </w:r>
          </w:p>
        </w:tc>
        <w:tc>
          <w:tcPr>
            <w:tcW w:type="dxa" w:w="6192"/>
            <w:shd w:fill="1F4E78"/>
            <w:tcMar>
              <w:top w:w="70" w:type="dxa"/>
              <w:start w:w="90" w:type="dxa"/>
              <w:bottom w:w="70" w:type="dxa"/>
              <w:end w:w="90" w:type="dxa"/>
            </w:tcMar>
            <w:vAlign w:val="center"/>
          </w:tcPr>
          <w:p>
            <w:pPr>
              <w:jc w:val="center"/>
            </w:pPr>
            <w:r>
              <w:rPr>
                <w:b/>
                <w:color w:val="FFFFFF"/>
                <w:sz w:val="17"/>
              </w:rPr>
              <w:t>Risposta attesa / indicatore</w:t>
            </w:r>
          </w:p>
        </w:tc>
      </w:tr>
      <w:tr>
        <w:tc>
          <w:tcPr>
            <w:tcW w:type="dxa" w:w="4032"/>
            <w:tcMar>
              <w:top w:w="70" w:type="dxa"/>
              <w:start w:w="90" w:type="dxa"/>
              <w:bottom w:w="70" w:type="dxa"/>
              <w:end w:w="90" w:type="dxa"/>
            </w:tcMar>
            <w:vAlign w:val="center"/>
          </w:tcPr>
          <w:p>
            <w:pPr>
              <w:jc w:val="left"/>
            </w:pPr>
            <w:r>
              <w:rPr>
                <w:color w:val="1F2937"/>
                <w:sz w:val="17"/>
              </w:rPr>
              <w:t>Durante una risposta di un LLM cambiano i pesi?</w:t>
            </w:r>
          </w:p>
        </w:tc>
        <w:tc>
          <w:tcPr>
            <w:tcW w:type="dxa" w:w="6192"/>
            <w:tcMar>
              <w:top w:w="70" w:type="dxa"/>
              <w:start w:w="90" w:type="dxa"/>
              <w:bottom w:w="70" w:type="dxa"/>
              <w:end w:w="90" w:type="dxa"/>
            </w:tcMar>
            <w:vAlign w:val="center"/>
          </w:tcPr>
          <w:p>
            <w:pPr>
              <w:jc w:val="left"/>
            </w:pPr>
            <w:r>
              <w:rPr>
                <w:color w:val="1F2937"/>
                <w:sz w:val="17"/>
              </w:rPr>
              <w:t>Di norma no: cambiano soprattutto input, stati interni e attivazioni; i pesi sono usati in inferenza.</w:t>
            </w:r>
          </w:p>
        </w:tc>
      </w:tr>
      <w:tr>
        <w:tc>
          <w:tcPr>
            <w:tcW w:type="dxa" w:w="4032"/>
            <w:tcMar>
              <w:top w:w="70" w:type="dxa"/>
              <w:start w:w="90" w:type="dxa"/>
              <w:bottom w:w="70" w:type="dxa"/>
              <w:end w:w="90" w:type="dxa"/>
            </w:tcMar>
            <w:vAlign w:val="center"/>
            <w:shd w:fill="F8FAFC"/>
          </w:tcPr>
          <w:p>
            <w:pPr>
              <w:jc w:val="left"/>
            </w:pPr>
            <w:r>
              <w:rPr>
                <w:color w:val="1F2937"/>
                <w:sz w:val="17"/>
              </w:rPr>
              <w:t>Peso e attention weight sono la stessa cosa?</w:t>
            </w:r>
          </w:p>
        </w:tc>
        <w:tc>
          <w:tcPr>
            <w:tcW w:type="dxa" w:w="6192"/>
            <w:tcMar>
              <w:top w:w="70" w:type="dxa"/>
              <w:start w:w="90" w:type="dxa"/>
              <w:bottom w:w="70" w:type="dxa"/>
              <w:end w:w="90" w:type="dxa"/>
            </w:tcMar>
            <w:vAlign w:val="center"/>
            <w:shd w:fill="F8FAFC"/>
          </w:tcPr>
          <w:p>
            <w:pPr>
              <w:jc w:val="left"/>
            </w:pPr>
            <w:r>
              <w:rPr>
                <w:color w:val="1F2937"/>
                <w:sz w:val="17"/>
              </w:rPr>
              <w:t>No. I primi sono parametri appresi persistenti; i secondi sono coefficienti calcolati dinamicamente sul contesto.</w:t>
            </w:r>
          </w:p>
        </w:tc>
      </w:tr>
      <w:tr>
        <w:tc>
          <w:tcPr>
            <w:tcW w:type="dxa" w:w="4032"/>
            <w:tcMar>
              <w:top w:w="70" w:type="dxa"/>
              <w:start w:w="90" w:type="dxa"/>
              <w:bottom w:w="70" w:type="dxa"/>
              <w:end w:w="90" w:type="dxa"/>
            </w:tcMar>
            <w:vAlign w:val="center"/>
          </w:tcPr>
          <w:p>
            <w:pPr>
              <w:jc w:val="left"/>
            </w:pPr>
            <w:r>
              <w:rPr>
                <w:color w:val="1F2937"/>
                <w:sz w:val="17"/>
              </w:rPr>
              <w:t>Perché XOR richiede hidden layer in questa costruzione?</w:t>
            </w:r>
          </w:p>
        </w:tc>
        <w:tc>
          <w:tcPr>
            <w:tcW w:type="dxa" w:w="6192"/>
            <w:tcMar>
              <w:top w:w="70" w:type="dxa"/>
              <w:start w:w="90" w:type="dxa"/>
              <w:bottom w:w="70" w:type="dxa"/>
              <w:end w:w="90" w:type="dxa"/>
            </w:tcMar>
            <w:vAlign w:val="center"/>
          </w:tcPr>
          <w:p>
            <w:pPr>
              <w:jc w:val="left"/>
            </w:pPr>
            <w:r>
              <w:rPr>
                <w:color w:val="1F2937"/>
                <w:sz w:val="17"/>
              </w:rPr>
              <w:t>Perché una singola frontiera lineare non separa i casi; lo strato nascosto ricodifica il problema.</w:t>
            </w:r>
          </w:p>
        </w:tc>
      </w:tr>
      <w:tr>
        <w:tc>
          <w:tcPr>
            <w:tcW w:type="dxa" w:w="4032"/>
            <w:tcMar>
              <w:top w:w="70" w:type="dxa"/>
              <w:start w:w="90" w:type="dxa"/>
              <w:bottom w:w="70" w:type="dxa"/>
              <w:end w:w="90" w:type="dxa"/>
            </w:tcMar>
            <w:vAlign w:val="center"/>
            <w:shd w:fill="F8FAFC"/>
          </w:tcPr>
          <w:p>
            <w:pPr>
              <w:jc w:val="left"/>
            </w:pPr>
            <w:r>
              <w:rPr>
                <w:color w:val="1F2937"/>
                <w:sz w:val="17"/>
              </w:rPr>
              <w:t>Probabilità alta significa verità?</w:t>
            </w:r>
          </w:p>
        </w:tc>
        <w:tc>
          <w:tcPr>
            <w:tcW w:type="dxa" w:w="6192"/>
            <w:tcMar>
              <w:top w:w="70" w:type="dxa"/>
              <w:start w:w="90" w:type="dxa"/>
              <w:bottom w:w="70" w:type="dxa"/>
              <w:end w:w="90" w:type="dxa"/>
            </w:tcMar>
            <w:vAlign w:val="center"/>
            <w:shd w:fill="F8FAFC"/>
          </w:tcPr>
          <w:p>
            <w:pPr>
              <w:jc w:val="left"/>
            </w:pPr>
            <w:r>
              <w:rPr>
                <w:color w:val="1F2937"/>
                <w:sz w:val="17"/>
              </w:rPr>
              <w:t>No. Significa alta plausibilità secondo il modello e il contesto.</w:t>
            </w:r>
          </w:p>
        </w:tc>
      </w:tr>
      <w:tr>
        <w:tc>
          <w:tcPr>
            <w:tcW w:type="dxa" w:w="4032"/>
            <w:tcMar>
              <w:top w:w="70" w:type="dxa"/>
              <w:start w:w="90" w:type="dxa"/>
              <w:bottom w:w="70" w:type="dxa"/>
              <w:end w:w="90" w:type="dxa"/>
            </w:tcMar>
            <w:vAlign w:val="center"/>
          </w:tcPr>
          <w:p>
            <w:pPr>
              <w:jc w:val="center"/>
            </w:pPr>
            <w:r>
              <w:rPr>
                <w:color w:val="1F2937"/>
                <w:sz w:val="17"/>
              </w:rPr>
              <w:t>Che cosa fa il bias?</w:t>
            </w:r>
          </w:p>
        </w:tc>
        <w:tc>
          <w:tcPr>
            <w:tcW w:type="dxa" w:w="6192"/>
            <w:tcMar>
              <w:top w:w="70" w:type="dxa"/>
              <w:start w:w="90" w:type="dxa"/>
              <w:bottom w:w="70" w:type="dxa"/>
              <w:end w:w="90" w:type="dxa"/>
            </w:tcMar>
            <w:vAlign w:val="center"/>
          </w:tcPr>
          <w:p>
            <w:pPr>
              <w:jc w:val="left"/>
            </w:pPr>
            <w:r>
              <w:rPr>
                <w:color w:val="1F2937"/>
                <w:sz w:val="17"/>
              </w:rPr>
              <w:t>Sposta il livello di attivazione/soglia del neurone indipendentemente dai singoli input.</w:t>
            </w:r>
          </w:p>
        </w:tc>
      </w:tr>
    </w:tbl>
    <w:p>
      <w:pPr>
        <w:spacing w:before="0" w:after="40" w:line="259" w:lineRule="auto"/>
      </w:pPr>
      <w:r>
        <w:rPr>
          <w:b w:val="0"/>
          <w:i w:val="0"/>
          <w:color w:val="1F2937"/>
          <w:sz w:val="4"/>
        </w:rPr>
      </w:r>
    </w:p>
    <w:tbl>
      <w:tblPr>
        <w:tblW w:type="auto" w:w="0"/>
        <w:jc w:val="center"/>
        <w:tblLayout w:type="autofit"/>
        <w:tblLook w:firstColumn="1" w:firstRow="1" w:lastColumn="0" w:lastRow="0" w:noHBand="0" w:noVBand="1" w:val="04A0"/>
      </w:tblPr>
      <w:tblGrid>
        <w:gridCol w:w="10036"/>
      </w:tblGrid>
      <w:tr>
        <w:tc>
          <w:tcPr>
            <w:tcW w:type="dxa" w:w="10036"/>
            <w:shd w:fill="4B5563"/>
            <w:tcBorders>
              <w:top w:val="single" w:sz="8" w:color="4B5563"/>
              <w:left w:val="single" w:sz="8" w:color="4B5563"/>
              <w:bottom w:val="single" w:sz="8" w:color="4B5563"/>
              <w:right w:val="single" w:sz="8" w:color="4B5563"/>
            </w:tcBorders>
            <w:tcMar>
              <w:top w:w="90" w:type="dxa"/>
              <w:start w:w="130" w:type="dxa"/>
              <w:bottom w:w="90" w:type="dxa"/>
              <w:end w:w="130" w:type="dxa"/>
            </w:tcMar>
          </w:tcPr>
          <w:p>
            <w:pPr>
              <w:spacing w:after="0"/>
            </w:pPr>
            <w:r>
              <w:rPr>
                <w:b/>
                <w:color w:val="FFFFFF"/>
                <w:sz w:val="21"/>
              </w:rPr>
              <w:t>Chiusura consigliata</w:t>
            </w:r>
          </w:p>
        </w:tc>
      </w:tr>
      <w:tr>
        <w:tc>
          <w:tcPr>
            <w:tcW w:type="dxa" w:w="10036"/>
            <w:shd w:fill="F3F4F6"/>
            <w:tcBorders>
              <w:top w:val="single" w:sz="8" w:color="4B5563"/>
              <w:left w:val="single" w:sz="8" w:color="4B5563"/>
              <w:bottom w:val="single" w:sz="8" w:color="4B5563"/>
              <w:right w:val="single" w:sz="8" w:color="4B5563"/>
            </w:tcBorders>
            <w:tcMar>
              <w:top w:w="110" w:type="dxa"/>
              <w:start w:w="150" w:type="dxa"/>
              <w:bottom w:w="110" w:type="dxa"/>
              <w:end w:w="150" w:type="dxa"/>
            </w:tcMar>
          </w:tcPr>
          <w:p>
            <w:pPr>
              <w:spacing w:after="80"/>
            </w:pPr>
            <w:r>
              <w:rPr>
                <w:color w:val="1F2937"/>
                <w:sz w:val="20"/>
              </w:rPr>
              <w:t>Far chiedere a ogni corsista di completare oralmente: “Una rete neurale non memorizza soltanto regole: trasforma rappresentazioni numeriche attraverso parametri appresi. Durante la generazione, i parametri vengono usati per produrre attivazioni e punteggi da cui deriva una distribuzione di probabilità.”</w:t>
            </w:r>
          </w:p>
        </w:tc>
      </w:tr>
    </w:tbl>
    <w:p>
      <w:pPr>
        <w:spacing w:before="0" w:after="40" w:line="259" w:lineRule="auto"/>
      </w:pPr>
      <w:r>
        <w:rPr>
          <w:b w:val="0"/>
          <w:i w:val="0"/>
          <w:color w:val="1F2937"/>
          <w:sz w:val="4"/>
        </w:rPr>
      </w:r>
    </w:p>
    <w:p>
      <w:pPr>
        <w:pageBreakBefore/>
        <w:spacing w:before="80" w:after="140"/>
      </w:pPr>
      <w:r>
        <w:rPr>
          <w:b/>
          <w:color w:val="1F4E78"/>
          <w:sz w:val="36"/>
        </w:rPr>
        <w:t>16  Nota di trasparenza e uso responsabile</w:t>
      </w:r>
    </w:p>
    <w:tbl>
      <w:tblPr>
        <w:tblW w:type="auto" w:w="0"/>
        <w:tblLayout w:type="fixed"/>
        <w:tblLook w:firstColumn="1" w:firstRow="1" w:lastColumn="0" w:lastRow="0" w:noHBand="0" w:noVBand="1" w:val="04A0"/>
      </w:tblPr>
      <w:tblGrid>
        <w:gridCol w:w="2268"/>
        <w:gridCol w:w="7370"/>
      </w:tblGrid>
      <w:tr>
        <w:tc>
          <w:tcPr>
            <w:tcW w:type="dxa" w:w="5018"/>
            <w:shd w:fill="2F80ED"/>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c>
          <w:tcPr>
            <w:tcW w:type="dxa" w:w="5018"/>
            <w:shd w:fill="E8EEF5"/>
            <w:tcBorders>
              <w:top w:val="single" w:sz="0" w:color="FFFFFF"/>
              <w:left w:val="single" w:sz="0" w:color="FFFFFF"/>
              <w:bottom w:val="single" w:sz="0" w:color="FFFFFF"/>
              <w:right w:val="single" w:sz="0" w:color="FFFFFF"/>
              <w:insideH w:val="single" w:sz="0" w:color="FFFFFF"/>
              <w:insideV w:val="single" w:sz="0" w:color="FFFFFF"/>
            </w:tcBorders>
            <w:tcMar>
              <w:top w:w="0" w:type="dxa"/>
              <w:start w:w="0" w:type="dxa"/>
              <w:bottom w:w="0" w:type="dxa"/>
              <w:end w:w="0" w:type="dxa"/>
            </w:tcMar>
          </w:tcPr>
          <w:p>
            <w:r/>
          </w:p>
        </w:tc>
      </w:tr>
    </w:tbl>
    <w:p>
      <w:pPr>
        <w:spacing w:after="20"/>
      </w:pPr>
    </w:p>
    <w:tbl>
      <w:tblPr>
        <w:tblW w:type="auto" w:w="0"/>
        <w:jc w:val="center"/>
        <w:tblLayout w:type="fixed"/>
        <w:tblLook w:firstColumn="1" w:firstRow="1" w:lastColumn="0" w:lastRow="0" w:noHBand="0" w:noVBand="1" w:val="04A0"/>
      </w:tblPr>
      <w:tblGrid>
        <w:gridCol w:w="181"/>
        <w:gridCol w:w="9241"/>
      </w:tblGrid>
      <w:tr>
        <w:tc>
          <w:tcPr>
            <w:tcW w:type="dxa" w:w="5018"/>
            <w:shd w:fill="149C95"/>
            <w:tcBorders>
              <w:top w:val="single" w:sz="0" w:color="149C95"/>
              <w:left w:val="single" w:sz="0" w:color="149C95"/>
              <w:bottom w:val="single" w:sz="0" w:color="149C95"/>
              <w:right w:val="single" w:sz="0" w:color="149C95"/>
              <w:insideH w:val="single" w:sz="0" w:color="149C95"/>
              <w:insideV w:val="single" w:sz="0" w:color="149C95"/>
            </w:tcBorders>
            <w:tcMar>
              <w:top w:w="80" w:type="dxa"/>
              <w:start w:w="0" w:type="dxa"/>
              <w:bottom w:w="80" w:type="dxa"/>
              <w:end w:w="0" w:type="dxa"/>
            </w:tcMar>
          </w:tcPr>
          <w:p/>
        </w:tc>
        <w:tc>
          <w:tcPr>
            <w:tcW w:type="dxa" w:w="5018"/>
            <w:shd w:fill="E8F8F6"/>
            <w:tcBorders>
              <w:top w:val="single" w:sz="0" w:color="E8F8F6"/>
              <w:left w:val="single" w:sz="0" w:color="E8F8F6"/>
              <w:bottom w:val="single" w:sz="0" w:color="E8F8F6"/>
              <w:right w:val="single" w:sz="0" w:color="E8F8F6"/>
              <w:insideH w:val="single" w:sz="0" w:color="E8F8F6"/>
              <w:insideV w:val="single" w:sz="0" w:color="E8F8F6"/>
            </w:tcBorders>
            <w:tcMar>
              <w:top w:w="160" w:type="dxa"/>
              <w:start w:w="210" w:type="dxa"/>
              <w:bottom w:w="160" w:type="dxa"/>
              <w:end w:w="210" w:type="dxa"/>
            </w:tcMar>
          </w:tcPr>
          <w:p>
            <w:pPr>
              <w:spacing w:after="60"/>
            </w:pPr>
            <w:r>
              <w:rPr>
                <w:rFonts w:ascii="Inter" w:hAnsi="Inter"/>
                <w:b/>
                <w:i w:val="0"/>
                <w:color w:val="149C95"/>
                <w:sz w:val="21"/>
              </w:rPr>
              <w:t>DICHIARAZIONE</w:t>
            </w:r>
          </w:p>
          <w:p>
            <w:pPr>
              <w:spacing w:line="259" w:lineRule="auto"/>
            </w:pPr>
            <w:r>
              <w:rPr>
                <w:rFonts w:ascii="Inter" w:hAnsi="Inter"/>
                <w:b w:val="0"/>
                <w:i w:val="0"/>
                <w:color w:val="1C2633"/>
                <w:sz w:val="19"/>
              </w:rPr>
              <w:t>Ideazione didattica e progettuale: Prof. Erasmo Modica · Realizzazione tecnica: ChatGPT (OpenAI), sulla base delle indicazioni dell’autore. L’impiego dell’IA è dichiarato per scelta di trasparenza; l’app è progettata anche come strumento di AI literacy, in coerenza con le finalità richiamate dall’art. 4 del Regolamento (UE) 2024/1689 — AI Act.</w:t>
            </w:r>
          </w:p>
        </w:tc>
      </w:tr>
    </w:tbl>
    <w:p>
      <w:pPr>
        <w:spacing w:after="20"/>
      </w:pPr>
    </w:p>
    <w:p>
      <w:pPr>
        <w:spacing w:after="120" w:line="269" w:lineRule="auto"/>
      </w:pPr>
      <w:r>
        <w:rPr>
          <w:rFonts w:ascii="Inter" w:hAnsi="Inter"/>
          <w:b w:val="0"/>
          <w:i w:val="0"/>
          <w:color w:val="1C2633"/>
          <w:sz w:val="20"/>
        </w:rPr>
        <w:t>La web app e questa guida utilizzano simulazioni semplificate. Non espongono né ricostruiscono i parametri reali di specifici modelli commerciali. Il loro scopo è rendere osservabili concetti altrimenti astratti e favorire una comprensione critica dell’IA.</w:t>
      </w:r>
    </w:p>
    <w:sectPr w:rsidR="00FC693F" w:rsidRPr="0006063C" w:rsidSect="00034616">
      <w:headerReference w:type="default" r:id="rId9"/>
      <w:footerReference w:type="default" r:id="rId10"/>
      <w:pgSz w:w="11906" w:h="16838"/>
      <w:pgMar w:top="964" w:right="935" w:bottom="879" w:left="9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Inter" w:hAnsi="Inter"/>
        <w:b w:val="0"/>
        <w:i w:val="0"/>
        <w:color w:val="6B7280"/>
        <w:sz w:val="16"/>
      </w:rPr>
      <w:t xml:space="preserve">Prof. Erasmo Modica  •  Neural Network Explorer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Inter" w:hAnsi="Inter"/>
        <w:b/>
        <w:i w:val="0"/>
        <w:color w:val="5F6B7A"/>
        <w:sz w:val="15"/>
      </w:rPr>
      <w:t>NEURAL NETWORK EXPLORER  |  AI LITERACY LAB</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1C26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Inter" w:hAnsi="Inter"/>
      <w:sz w:val="20"/>
    </w:rPr>
  </w:style>
  <w:style w:type="paragraph" w:styleId="ListBullet2">
    <w:name w:val="List Bullet 2"/>
    <w:basedOn w:val="Normal"/>
    <w:uiPriority w:val="99"/>
    <w:unhideWhenUsed/>
    <w:rsid w:val="00326F90"/>
    <w:pPr>
      <w:numPr>
        <w:numId w:val="2"/>
      </w:numPr>
      <w:contextualSpacing/>
    </w:pPr>
    <w:rPr>
      <w:rFonts w:ascii="Inter" w:hAnsi="Inter"/>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